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/>
        <w:rPr>
          <w:rFonts w:ascii="Times New Roman"/>
        </w:rPr>
      </w:pPr>
    </w:p>
    <w:p>
      <w:pPr>
        <w:pStyle w:val="Title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BIZTONSÁGI ADATLAP</w:t>
      </w:r>
    </w:p>
    <w:p>
      <w:pPr>
        <w:pStyle w:val="BodyText"/>
        <w:spacing w:before="3"/>
        <w:ind w:left="0"/>
        <w:rPr>
          <w:b/>
          <w:sz w:val="40"/>
        </w:rPr>
      </w:pPr>
    </w:p>
    <w:p>
      <w:pPr>
        <w:spacing w:before="0"/>
        <w:ind w:left="131" w:right="0" w:firstLine="0"/>
        <w:jc w:val="left"/>
        <w:rPr>
          <w:b/>
          <w:sz w:val="20"/>
        </w:rPr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pict>
          <v:rect style="position:absolute;margin-left:56.1506pt;margin-top:12.884904pt;width:513.12pt;height:.48pt;mso-position-horizontal-relative:page;mso-position-vertical-relative:paragraph;z-index:-15728640;mso-wrap-distance-left:0;mso-wrap-distance-right:0" id="docshape4" filled="true" fillcolor="#000000" stroked="false">
            <v:fill type="solid"/>
            <w10:wrap type="topAndBottom"/>
          </v:rect>
        </w:pic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1. szakasz </w: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AZ ANYAG/KEVERÉK ÉS A VÁLLALAT/VÁLLALKOZÁS AZONOSÍTÁSA</w:t>
      </w:r>
    </w:p>
    <w:p>
      <w:pPr>
        <w:pStyle w:val="BodyText"/>
        <w:spacing w:before="11"/>
        <w:ind w:left="0"/>
        <w:rPr>
          <w:b/>
          <w:sz w:val="11"/>
        </w:rPr>
      </w:pPr>
    </w:p>
    <w:p>
      <w:pPr>
        <w:pStyle w:val="Heading1"/>
        <w:numPr>
          <w:ilvl w:val="1"/>
          <w:numId w:val="1"/>
        </w:numPr>
        <w:tabs>
          <w:tab w:pos="851" w:val="left" w:leader="none"/>
          <w:tab w:pos="852" w:val="left" w:leader="none"/>
        </w:tabs>
        <w:spacing w:line="241" w:lineRule="exact" w:before="102" w:after="0"/>
        <w:ind w:left="851" w:right="0" w:hanging="721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TERMÉKAZONOSÍTÓ</w:t>
      </w:r>
    </w:p>
    <w:p>
      <w:pPr>
        <w:spacing w:line="240" w:lineRule="exact" w:before="0"/>
        <w:ind w:left="135" w:right="0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Termék neve: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Cseresznye</w:t>
      </w:r>
    </w:p>
    <w:p>
      <w:pPr>
        <w:spacing w:line="241" w:lineRule="exact" w:before="0"/>
        <w:ind w:left="135" w:right="0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A keverék egyedi formulaazonosítója (UFI):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 –.</w:t>
      </w:r>
    </w:p>
    <w:p>
      <w:pPr>
        <w:pStyle w:val="BodyText"/>
        <w:spacing w:before="2"/>
        <w:ind w:left="0"/>
      </w:pPr>
    </w:p>
    <w:p>
      <w:pPr>
        <w:pStyle w:val="Heading1"/>
        <w:numPr>
          <w:ilvl w:val="1"/>
          <w:numId w:val="1"/>
        </w:numPr>
        <w:tabs>
          <w:tab w:pos="851" w:val="left" w:leader="none"/>
          <w:tab w:pos="852" w:val="left" w:leader="none"/>
        </w:tabs>
        <w:spacing w:line="241" w:lineRule="exact" w:before="0" w:after="0"/>
        <w:ind w:left="851" w:right="0" w:hanging="721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AZ ANYAG VAGY KEVERÉK MEGFELELŐ AZONOSÍTOTT FELHASZNÁLÁSA, ILLETVE ELLENJAVALLT FELHASZNÁLÁSA</w:t>
      </w:r>
    </w:p>
    <w:p>
      <w:pPr>
        <w:spacing w:line="241" w:lineRule="exact" w:before="0"/>
        <w:ind w:left="135" w:right="0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Lényeges azonosított felhasználása: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Alkalmazás: tartós sminkre.</w:t>
      </w:r>
    </w:p>
    <w:p>
      <w:pPr>
        <w:spacing w:before="4"/>
        <w:ind w:left="135" w:right="0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Ellenjavallt felhasználások: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Nincs adat.</w:t>
      </w:r>
    </w:p>
    <w:p>
      <w:pPr>
        <w:pStyle w:val="BodyText"/>
        <w:spacing w:before="9"/>
        <w:ind w:left="0"/>
        <w:rPr>
          <w:sz w:val="19"/>
        </w:rPr>
      </w:pPr>
    </w:p>
    <w:p>
      <w:pPr>
        <w:pStyle w:val="Heading1"/>
        <w:numPr>
          <w:ilvl w:val="1"/>
          <w:numId w:val="1"/>
        </w:numPr>
        <w:tabs>
          <w:tab w:pos="851" w:val="left" w:leader="none"/>
          <w:tab w:pos="852" w:val="left" w:leader="none"/>
        </w:tabs>
        <w:spacing w:line="241" w:lineRule="exact" w:before="0" w:after="0"/>
        <w:ind w:left="851" w:right="0" w:hanging="721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A BIZTONSÁGI ADATLAP SZÁLLÍTÓJÁNAK ADATAI</w:t>
      </w:r>
    </w:p>
    <w:p>
      <w:pPr>
        <w:spacing w:line="241" w:lineRule="exact" w:before="0"/>
        <w:ind w:left="131" w:right="0" w:firstLine="0"/>
        <w:jc w:val="left"/>
        <w:rPr>
          <w:b/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Gyártó/beszállító:</w:t>
      </w:r>
    </w:p>
    <w:p>
      <w:pPr>
        <w:pStyle w:val="BodyText"/>
        <w:spacing w:line="241" w:lineRule="exact" w:before="3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IP Savina Darya Alekseevna</w:t>
      </w:r>
    </w:p>
    <w:p>
      <w:pPr>
        <w:pStyle w:val="BodyText"/>
        <w:ind w:right="5523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Dalnyaya, 39/5, iroda 603, Krasnodar, 350051, Oroszország Tel. sz.: +79891220581</w:t>
      </w:r>
    </w:p>
    <w:p>
      <w:pPr>
        <w:pStyle w:val="BodyText"/>
        <w:spacing w:before="2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Weboldal: face-company.com</w:t>
      </w:r>
    </w:p>
    <w:p>
      <w:pPr>
        <w:pStyle w:val="BodyText"/>
        <w:spacing w:before="9"/>
        <w:ind w:left="0"/>
        <w:rPr>
          <w:sz w:val="19"/>
        </w:rPr>
      </w:pPr>
    </w:p>
    <w:p>
      <w:pPr>
        <w:spacing w:before="0"/>
        <w:ind w:left="134" w:right="2742" w:hanging="3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A biztonsági adatlapért felelős személy elektronikus levelezési címe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 : E-mail: </w:t>
      </w:r>
      <w:hyperlink r:id="rId6">
        <w:r>
          <w:rPr>
            <w:sz w:val="20"/>
            <w:lang w:val="hu"/>
            <w:b w:val="0"/>
            <w:bCs w:val="0"/>
            <w:i w:val="0"/>
            <w:iCs w:val="0"/>
            <w:u w:val="none"/>
            <w:vertAlign w:val="baseline"/>
            <w:rtl w:val="0"/>
          </w:rPr>
          <w:t xml:space="preserve">darveks@gmail.com</w:t>
        </w:r>
      </w:hyperlink>
    </w:p>
    <w:p>
      <w:pPr>
        <w:pStyle w:val="BodyText"/>
        <w:ind w:left="0"/>
      </w:pPr>
    </w:p>
    <w:p>
      <w:pPr>
        <w:pStyle w:val="Heading1"/>
        <w:numPr>
          <w:ilvl w:val="1"/>
          <w:numId w:val="1"/>
        </w:numPr>
        <w:tabs>
          <w:tab w:pos="851" w:val="left" w:leader="none"/>
          <w:tab w:pos="852" w:val="left" w:leader="none"/>
        </w:tabs>
        <w:spacing w:line="241" w:lineRule="exact" w:before="0" w:after="0"/>
        <w:ind w:left="851" w:right="0" w:hanging="721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SÜRGŐSSÉGI TELEFONSZÁM</w:t>
      </w:r>
    </w:p>
    <w:p>
      <w:pPr>
        <w:pStyle w:val="BodyText"/>
        <w:spacing w:line="242" w:lineRule="auto"/>
        <w:ind w:right="7324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Mérgezési Központ (Ausztria) Tel. Tel.: +43 1 406 4343</w:t>
      </w:r>
    </w:p>
    <w:p>
      <w:pPr>
        <w:pStyle w:val="BodyText"/>
        <w:spacing w:before="7"/>
        <w:ind w:left="0"/>
        <w:rPr>
          <w:sz w:val="19"/>
        </w:rPr>
      </w:pPr>
    </w:p>
    <w:p>
      <w:pPr>
        <w:pStyle w:val="BodyText"/>
        <w:spacing w:line="242" w:lineRule="auto" w:before="1"/>
        <w:ind w:right="6047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Antigif Centrum Center Antipoisons (Belgium) Tel. Tel.: +32 070 245 245</w:t>
      </w:r>
    </w:p>
    <w:p>
      <w:pPr>
        <w:pStyle w:val="BodyText"/>
        <w:spacing w:before="7"/>
        <w:ind w:left="0"/>
        <w:rPr>
          <w:sz w:val="19"/>
        </w:rPr>
      </w:pPr>
    </w:p>
    <w:p>
      <w:pPr>
        <w:pStyle w:val="BodyTex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Országos Toxikológiai Központ, Aktív Gyógykezelési és Sürgősségi Kórház "NIPirogov" (Bulgária) Tel. Tel./ fax: +359 2 9154 233</w:t>
      </w:r>
    </w:p>
    <w:p>
      <w:pPr>
        <w:pStyle w:val="BodyText"/>
        <w:spacing w:before="1"/>
        <w:ind w:left="0"/>
      </w:pPr>
    </w:p>
    <w:p>
      <w:pPr>
        <w:pStyle w:val="BodyText"/>
        <w:ind w:right="7324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Mérgezési Központ (Horvátország) Tel. szám: +385 1 234 8342</w:t>
      </w:r>
    </w:p>
    <w:p>
      <w:pPr>
        <w:pStyle w:val="BodyText"/>
        <w:ind w:left="0"/>
      </w:pPr>
    </w:p>
    <w:p>
      <w:pPr>
        <w:pStyle w:val="BodyText"/>
        <w:ind w:right="5653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Toxikológiai Tájékoztatóközpont (Csehország) Tel.: Tel.: +420 224 919 293, +420 224 915 402</w:t>
      </w:r>
    </w:p>
    <w:p>
      <w:pPr>
        <w:pStyle w:val="BodyText"/>
        <w:spacing w:before="1"/>
        <w:ind w:left="0"/>
      </w:pPr>
    </w:p>
    <w:p>
      <w:pPr>
        <w:pStyle w:val="BodyText"/>
        <w:ind w:right="7324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Poison Control Hotline (Dánia) Tel. szám: +45 82 12 12 12</w:t>
      </w:r>
    </w:p>
    <w:p>
      <w:pPr>
        <w:pStyle w:val="BodyText"/>
        <w:ind w:left="0"/>
      </w:pPr>
    </w:p>
    <w:p>
      <w:pPr>
        <w:pStyle w:val="BodyText"/>
        <w:spacing w:line="241" w:lineRule="exact" w:before="1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Mérgezési Információs Központ (Észtország)</w:t>
      </w:r>
    </w:p>
    <w:p>
      <w:pPr>
        <w:pStyle w:val="BodyText"/>
        <w:spacing w:line="241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Tel.: szám: +372 794 3794 (vagy 16662 országos)</w:t>
      </w:r>
    </w:p>
    <w:p>
      <w:pPr>
        <w:pStyle w:val="BodyText"/>
        <w:spacing w:before="1"/>
        <w:ind w:left="0"/>
      </w:pPr>
    </w:p>
    <w:p>
      <w:pPr>
        <w:pStyle w:val="BodyText"/>
        <w:spacing w:before="1"/>
        <w:ind w:right="6899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Mérgezési Információs Központ (Finnország)  Tel.: +358 09 471 977</w:t>
      </w:r>
    </w:p>
    <w:p>
      <w:pPr>
        <w:pStyle w:val="BodyText"/>
        <w:spacing w:before="7"/>
        <w:ind w:left="0"/>
        <w:rPr>
          <w:sz w:val="19"/>
        </w:rPr>
      </w:pPr>
    </w:p>
    <w:p>
      <w:pPr>
        <w:pStyle w:val="BodyTex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ORFILA (INERIS) (Franciaország)</w:t>
      </w:r>
    </w:p>
    <w:p>
      <w:pPr>
        <w:pStyle w:val="BodyText"/>
        <w:spacing w:before="4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Tel.: szám: +33 (0) 1 45 42 59 59</w:t>
      </w:r>
    </w:p>
    <w:p>
      <w:pPr>
        <w:pStyle w:val="BodyText"/>
        <w:spacing w:before="9"/>
        <w:ind w:left="0"/>
        <w:rPr>
          <w:sz w:val="19"/>
        </w:rPr>
      </w:pPr>
    </w:p>
    <w:p>
      <w:pPr>
        <w:pStyle w:val="BodyText"/>
        <w:spacing w:line="242" w:lineRule="auto"/>
        <w:ind w:right="5653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Egészségügyi Toxikológiai Információs Szolgálat (Magyarország) Tel.: +36 80 20 11 99</w:t>
      </w:r>
    </w:p>
    <w:p>
      <w:pPr>
        <w:pStyle w:val="BodyText"/>
        <w:spacing w:before="8"/>
        <w:ind w:left="0"/>
        <w:rPr>
          <w:sz w:val="19"/>
        </w:rPr>
      </w:pPr>
    </w:p>
    <w:p>
      <w:pPr>
        <w:pStyle w:val="BodyTex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Mérgezési Központ (Izland)</w:t>
      </w:r>
    </w:p>
    <w:p>
      <w:pPr>
        <w:spacing w:after="0"/>
        <w:sectPr>
          <w:headerReference w:type="default" r:id="rId5"/>
          <w:type w:val="continuous"/>
          <w:pgSz w:w="11910" w:h="16840"/>
          <w:pgMar w:header="585" w:footer="0" w:top="2300" w:bottom="280" w:left="1020" w:right="420"/>
          <w:pgNumType w:start="1"/>
        </w:sectPr>
      </w:pPr>
    </w:p>
    <w:p>
      <w:pPr>
        <w:pStyle w:val="BodyText"/>
        <w:spacing w:before="11"/>
        <w:ind w:left="0"/>
        <w:rPr>
          <w:sz w:val="13"/>
        </w:rPr>
      </w:pPr>
    </w:p>
    <w:p>
      <w:pPr>
        <w:pStyle w:val="BodyText"/>
        <w:spacing w:before="102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Tel.: szám: +354 543 2222</w:t>
      </w:r>
    </w:p>
    <w:p>
      <w:pPr>
        <w:pStyle w:val="BodyText"/>
        <w:spacing w:before="9"/>
        <w:ind w:left="0"/>
        <w:rPr>
          <w:sz w:val="19"/>
        </w:rPr>
      </w:pPr>
    </w:p>
    <w:p>
      <w:pPr>
        <w:pStyle w:val="BodyTex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Országos Mérgezési Információs Központ (Írország)</w:t>
      </w:r>
    </w:p>
    <w:p>
      <w:pPr>
        <w:pStyle w:val="BodyText"/>
        <w:spacing w:before="4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Tel.: szám: +353 (0)1 809 2566 / +353 (0)1 837 9964</w:t>
      </w:r>
    </w:p>
    <w:p>
      <w:pPr>
        <w:pStyle w:val="BodyText"/>
        <w:spacing w:before="9"/>
        <w:ind w:left="0"/>
        <w:rPr>
          <w:sz w:val="19"/>
        </w:rPr>
      </w:pPr>
    </w:p>
    <w:p>
      <w:pPr>
        <w:pStyle w:val="BodyText"/>
        <w:ind w:right="3500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Valsts Toksikoloģijas centrs, Saindēšanās un zāļu informācijas centrs (Lettország) Tel.: szám: +371 670 42473</w:t>
      </w:r>
    </w:p>
    <w:p>
      <w:pPr>
        <w:pStyle w:val="BodyText"/>
        <w:ind w:left="0"/>
      </w:pPr>
    </w:p>
    <w:p>
      <w:pPr>
        <w:pStyle w:val="BodyText"/>
        <w:spacing w:before="1"/>
        <w:ind w:right="2160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State Medicines Control Agency (Állami Gyóygszerellenőrzési Intézet) (SMCA), Poison Information Bureau (Méregközpont) (PIB) (Litvánia) Tel.: szám: +370 5 236 20 52</w:t>
      </w:r>
    </w:p>
    <w:p>
      <w:pPr>
        <w:pStyle w:val="BodyText"/>
        <w:ind w:left="0"/>
      </w:pPr>
    </w:p>
    <w:p>
      <w:pPr>
        <w:pStyle w:val="BodyText"/>
        <w:ind w:right="7749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Mater Dei Kórház (Málta) Tel. szám: +356 2545 0000</w:t>
      </w:r>
    </w:p>
    <w:p>
      <w:pPr>
        <w:pStyle w:val="BodyText"/>
        <w:spacing w:before="1"/>
        <w:ind w:left="0"/>
      </w:pPr>
    </w:p>
    <w:p>
      <w:pPr>
        <w:pStyle w:val="BodyText"/>
        <w:ind w:right="5016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Országos Mérgezési Információs Központ (NVIC) (Hollandia) Tel. szám: +31 (0) 30 274 8888</w:t>
      </w:r>
    </w:p>
    <w:p>
      <w:pPr>
        <w:pStyle w:val="BodyText"/>
        <w:ind w:left="0"/>
      </w:pPr>
    </w:p>
    <w:p>
      <w:pPr>
        <w:pStyle w:val="BodyText"/>
        <w:ind w:right="7324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Mentálhigiénés Segélyvonal (Norvégia) Tel. szám: +47 22 59 13 00</w:t>
      </w:r>
    </w:p>
    <w:p>
      <w:pPr>
        <w:pStyle w:val="BodyText"/>
        <w:spacing w:before="1"/>
        <w:ind w:left="0"/>
      </w:pPr>
    </w:p>
    <w:p>
      <w:pPr>
        <w:pStyle w:val="BodyText"/>
        <w:ind w:right="5523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Instituto Nacional de Emergência Médica (Portugália) Tel. szám: +351 213 303 271</w:t>
      </w:r>
    </w:p>
    <w:p>
      <w:pPr>
        <w:pStyle w:val="BodyText"/>
        <w:spacing w:before="8"/>
        <w:ind w:left="0"/>
        <w:rPr>
          <w:sz w:val="19"/>
        </w:rPr>
      </w:pPr>
    </w:p>
    <w:p>
      <w:pPr>
        <w:pStyle w:val="BodyText"/>
        <w:spacing w:line="242" w:lineRule="auto"/>
        <w:ind w:right="6047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Biroul RSI si Informare Toxicologica (Románia) Tel. szám: +40 021 318 3606</w:t>
      </w:r>
    </w:p>
    <w:p>
      <w:pPr>
        <w:pStyle w:val="BodyText"/>
        <w:spacing w:before="7"/>
        <w:ind w:left="0"/>
        <w:rPr>
          <w:sz w:val="19"/>
        </w:rPr>
      </w:pPr>
    </w:p>
    <w:p>
      <w:pPr>
        <w:pStyle w:val="BodyText"/>
        <w:spacing w:line="242" w:lineRule="auto" w:before="1"/>
        <w:ind w:right="5016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Országos Toxikológiai Információs Központ (NTIC) (Szlovákia) Tel. sz.: +421 2 5477 4166</w:t>
      </w:r>
    </w:p>
    <w:p>
      <w:pPr>
        <w:pStyle w:val="BodyText"/>
        <w:spacing w:before="7"/>
        <w:ind w:left="0"/>
        <w:rPr>
          <w:sz w:val="19"/>
        </w:rPr>
      </w:pPr>
    </w:p>
    <w:p>
      <w:pPr>
        <w:pStyle w:val="BodyText"/>
        <w:ind w:right="6899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Toxikológiai Tájékoztató Szolgálat (Spanyolország) Tel.: szám: +34 91 562 04 20</w:t>
      </w:r>
    </w:p>
    <w:p>
      <w:pPr>
        <w:pStyle w:val="BodyText"/>
        <w:spacing w:before="1"/>
        <w:ind w:left="0"/>
      </w:pPr>
    </w:p>
    <w:p>
      <w:pPr>
        <w:pStyle w:val="BodyText"/>
        <w:ind w:right="6047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Svéd Méregközpont (Svédország) Tel. szám: +46 08 331231</w:t>
      </w:r>
    </w:p>
    <w:p>
      <w:pPr>
        <w:pStyle w:val="BodyText"/>
        <w:ind w:left="0"/>
        <w:rPr>
          <w:sz w:val="24"/>
        </w:rPr>
      </w:pPr>
    </w:p>
    <w:p>
      <w:pPr>
        <w:spacing w:before="192"/>
        <w:ind w:left="131" w:right="0" w:firstLine="0"/>
        <w:jc w:val="left"/>
        <w:rPr>
          <w:b/>
          <w:sz w:val="20"/>
        </w:rPr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pict>
          <v:rect style="position:absolute;margin-left:56.1506pt;margin-top:22.724888pt;width:513.12pt;height:.48pt;mso-position-horizontal-relative:page;mso-position-vertical-relative:paragraph;z-index:-15728128;mso-wrap-distance-left:0;mso-wrap-distance-right:0" id="docshape5" filled="true" fillcolor="#000000" stroked="false">
            <v:fill type="solid"/>
            <w10:wrap type="topAndBottom"/>
          </v:rect>
        </w:pic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2. szakasz </w: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VESZÉLYESSÉG SZERINTI BESOROLÁS</w:t>
      </w:r>
    </w:p>
    <w:p>
      <w:pPr>
        <w:pStyle w:val="BodyText"/>
        <w:spacing w:before="7"/>
        <w:ind w:left="0"/>
        <w:rPr>
          <w:b/>
          <w:sz w:val="11"/>
        </w:rPr>
      </w:pPr>
    </w:p>
    <w:p>
      <w:pPr>
        <w:pStyle w:val="Heading1"/>
        <w:numPr>
          <w:ilvl w:val="1"/>
          <w:numId w:val="2"/>
        </w:numPr>
        <w:tabs>
          <w:tab w:pos="851" w:val="left" w:leader="none"/>
          <w:tab w:pos="852" w:val="left" w:leader="none"/>
        </w:tabs>
        <w:spacing w:line="241" w:lineRule="exact" w:before="101" w:after="0"/>
        <w:ind w:left="851" w:right="0" w:hanging="721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AZ ANYAG VAGY KEVERÉK OSZTÁLYOZÁSA</w:t>
      </w:r>
    </w:p>
    <w:p>
      <w:pPr>
        <w:pStyle w:val="ListParagraph"/>
        <w:numPr>
          <w:ilvl w:val="2"/>
          <w:numId w:val="2"/>
        </w:numPr>
        <w:tabs>
          <w:tab w:pos="760" w:val="left" w:leader="none"/>
        </w:tabs>
        <w:spacing w:line="241" w:lineRule="exact" w:before="0" w:after="0"/>
        <w:ind w:left="759" w:right="0" w:hanging="629"/>
        <w:jc w:val="left"/>
        <w:rPr>
          <w:b/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Osztályozás az 1272/2008/EK [CLP] rendelet szerint</w:t>
      </w:r>
    </w:p>
    <w:p>
      <w:pPr>
        <w:pStyle w:val="BodyText"/>
        <w:spacing w:before="4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Nem minősített.</w:t>
      </w:r>
    </w:p>
    <w:p>
      <w:pPr>
        <w:pStyle w:val="BodyText"/>
        <w:spacing w:before="9"/>
        <w:ind w:left="0"/>
        <w:rPr>
          <w:sz w:val="19"/>
        </w:rPr>
      </w:pPr>
    </w:p>
    <w:p>
      <w:pPr>
        <w:pStyle w:val="ListParagraph"/>
        <w:numPr>
          <w:ilvl w:val="2"/>
          <w:numId w:val="2"/>
        </w:numPr>
        <w:tabs>
          <w:tab w:pos="761" w:val="left" w:leader="none"/>
        </w:tabs>
        <w:spacing w:line="240" w:lineRule="auto" w:before="0" w:after="0"/>
        <w:ind w:left="760" w:right="0" w:hanging="630"/>
        <w:jc w:val="left"/>
        <w:rPr>
          <w:b/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További információ:</w:t>
      </w:r>
    </w:p>
    <w:p>
      <w:pPr>
        <w:pStyle w:val="BodyText"/>
        <w:spacing w:before="3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 H mondatok, a veszély és az EU figyelmeztető mondatok teljes szövege a 16. részben találhatók.</w:t>
      </w:r>
    </w:p>
    <w:p>
      <w:pPr>
        <w:pStyle w:val="BodyText"/>
        <w:spacing w:before="10"/>
        <w:ind w:left="0"/>
        <w:rPr>
          <w:sz w:val="19"/>
        </w:rPr>
      </w:pPr>
    </w:p>
    <w:p>
      <w:pPr>
        <w:pStyle w:val="Heading1"/>
        <w:numPr>
          <w:ilvl w:val="1"/>
          <w:numId w:val="2"/>
        </w:numPr>
        <w:tabs>
          <w:tab w:pos="840" w:val="left" w:leader="none"/>
          <w:tab w:pos="841" w:val="left" w:leader="none"/>
        </w:tabs>
        <w:spacing w:line="241" w:lineRule="exact" w:before="0" w:after="0"/>
        <w:ind w:left="840" w:right="0" w:hanging="710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CÍMKÉZÉSI ELEMEK</w:t>
      </w:r>
    </w:p>
    <w:p>
      <w:pPr>
        <w:pStyle w:val="ListParagraph"/>
        <w:numPr>
          <w:ilvl w:val="2"/>
          <w:numId w:val="2"/>
        </w:numPr>
        <w:tabs>
          <w:tab w:pos="760" w:val="left" w:leader="none"/>
        </w:tabs>
        <w:spacing w:line="241" w:lineRule="exact" w:before="0" w:after="0"/>
        <w:ind w:left="759" w:right="0" w:hanging="629"/>
        <w:jc w:val="left"/>
        <w:rPr>
          <w:b/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Címke az 1272/2008/EK rendelet [CLP] szerint</w:t>
      </w:r>
    </w:p>
    <w:p>
      <w:pPr>
        <w:pStyle w:val="BodyText"/>
        <w:spacing w:before="2"/>
        <w:ind w:left="0"/>
        <w:rPr>
          <w:b/>
        </w:rPr>
      </w:pPr>
    </w:p>
    <w:p>
      <w:pPr>
        <w:pStyle w:val="BodyText"/>
        <w:ind w:right="7749"/>
        <w:bidi w:val="0"/>
      </w:pPr>
      <w:r>
        <w:rPr>
          <w:lang w:val="hu"/>
          <w:b w:val="0"/>
          <w:bCs w:val="0"/>
          <w:i w:val="0"/>
          <w:iCs w:val="0"/>
          <w:u w:val="single"/>
          <w:vertAlign w:val="baseline"/>
          <w:rtl w:val="0"/>
        </w:rPr>
        <w:t xml:space="preserve">Veszélyességi piktogramok: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 Nincs. </w:t>
      </w:r>
      <w:r>
        <w:rPr>
          <w:lang w:val="hu"/>
          <w:b w:val="0"/>
          <w:bCs w:val="0"/>
          <w:i w:val="0"/>
          <w:iCs w:val="0"/>
          <w:u w:val="single"/>
          <w:vertAlign w:val="baseline"/>
          <w:rtl w:val="0"/>
        </w:rPr>
        <w:t xml:space="preserve">Figyelmeztetés: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 Nincs.</w:t>
      </w:r>
    </w:p>
    <w:p>
      <w:pPr>
        <w:pStyle w:val="BodyText"/>
        <w:spacing w:before="2"/>
        <w:ind w:right="7324"/>
        <w:bidi w:val="0"/>
      </w:pPr>
      <w:r>
        <w:rPr>
          <w:lang w:val="hu"/>
          <w:b w:val="0"/>
          <w:bCs w:val="0"/>
          <w:i w:val="0"/>
          <w:iCs w:val="0"/>
          <w:u w:val="single"/>
          <w:vertAlign w:val="baseline"/>
          <w:rtl w:val="0"/>
        </w:rPr>
        <w:t xml:space="preserve">Figyelmeztető mondatok: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 Nincs. </w:t>
      </w:r>
      <w:r>
        <w:rPr>
          <w:lang w:val="hu"/>
          <w:b w:val="0"/>
          <w:bCs w:val="0"/>
          <w:i w:val="0"/>
          <w:iCs w:val="0"/>
          <w:u w:val="single"/>
          <w:vertAlign w:val="baseline"/>
          <w:rtl w:val="0"/>
        </w:rPr>
        <w:t xml:space="preserve">Óvintézkedésre vonatkozó mondatok: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 Nincs.</w:t>
      </w:r>
    </w:p>
    <w:p>
      <w:pPr>
        <w:pStyle w:val="BodyText"/>
        <w:spacing w:before="7"/>
        <w:ind w:left="0"/>
        <w:rPr>
          <w:sz w:val="19"/>
        </w:rPr>
      </w:pPr>
    </w:p>
    <w:p>
      <w:pPr>
        <w:pStyle w:val="BodyText"/>
        <w:spacing w:before="1"/>
        <w:bidi w:val="0"/>
      </w:pPr>
      <w:r>
        <w:rPr>
          <w:lang w:val="hu"/>
          <w:b w:val="0"/>
          <w:bCs w:val="0"/>
          <w:i w:val="0"/>
          <w:iCs w:val="0"/>
          <w:u w:val="single"/>
          <w:vertAlign w:val="baseline"/>
          <w:rtl w:val="0"/>
        </w:rPr>
        <w:t xml:space="preserve">Kiegészítő címkeinformáció: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 Nincs.</w:t>
      </w:r>
    </w:p>
    <w:p>
      <w:pPr>
        <w:pStyle w:val="BodyText"/>
        <w:spacing w:before="1"/>
        <w:ind w:left="0"/>
      </w:pPr>
    </w:p>
    <w:p>
      <w:pPr>
        <w:pStyle w:val="Heading1"/>
        <w:numPr>
          <w:ilvl w:val="1"/>
          <w:numId w:val="2"/>
        </w:numPr>
        <w:tabs>
          <w:tab w:pos="840" w:val="left" w:leader="none"/>
          <w:tab w:pos="841" w:val="left" w:leader="none"/>
        </w:tabs>
        <w:spacing w:line="240" w:lineRule="auto" w:before="1" w:after="0"/>
        <w:ind w:left="840" w:right="0" w:hanging="710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EGYÉB VESZÉLYEK</w:t>
      </w:r>
    </w:p>
    <w:p>
      <w:pPr>
        <w:spacing w:after="0" w:line="240" w:lineRule="auto"/>
        <w:jc w:val="left"/>
        <w:sectPr>
          <w:pgSz w:w="11910" w:h="16840"/>
          <w:pgMar w:header="585" w:footer="0" w:top="2300" w:bottom="280" w:left="1020" w:right="420"/>
        </w:sectPr>
      </w:pPr>
    </w:p>
    <w:p>
      <w:pPr>
        <w:pStyle w:val="BodyText"/>
        <w:spacing w:before="11"/>
        <w:ind w:left="0"/>
        <w:rPr>
          <w:b/>
          <w:sz w:val="13"/>
        </w:rPr>
      </w:pPr>
    </w:p>
    <w:p>
      <w:pPr>
        <w:pStyle w:val="BodyText"/>
        <w:spacing w:before="102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 termék nem felel meg az 1907/2006/EK rendelet szerinti PBT vagy vPvB kritériumoknak.</w:t>
      </w:r>
    </w:p>
    <w:p>
      <w:pPr>
        <w:pStyle w:val="BodyText"/>
        <w:ind w:left="0"/>
        <w:rPr>
          <w:sz w:val="24"/>
        </w:rPr>
      </w:pPr>
    </w:p>
    <w:p>
      <w:pPr>
        <w:spacing w:before="194"/>
        <w:ind w:left="131" w:right="0" w:firstLine="0"/>
        <w:jc w:val="left"/>
        <w:rPr>
          <w:b/>
          <w:sz w:val="20"/>
        </w:rPr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pict>
          <v:rect style="position:absolute;margin-left:56.1506pt;margin-top:22.584892pt;width:513.12pt;height:.48pt;mso-position-horizontal-relative:page;mso-position-vertical-relative:paragraph;z-index:-15727616;mso-wrap-distance-left:0;mso-wrap-distance-right:0" id="docshape6" filled="true" fillcolor="#000000" stroked="false">
            <v:fill type="solid"/>
            <w10:wrap type="topAndBottom"/>
          </v:rect>
        </w:pic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3. szakasz </w: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ÖSSZETÉTEL/ÖSSZETEVŐKRE VONATKOZÓ INFORMÁCIÓK</w:t>
      </w:r>
    </w:p>
    <w:p>
      <w:pPr>
        <w:pStyle w:val="BodyText"/>
        <w:spacing w:before="7"/>
        <w:ind w:left="0"/>
        <w:rPr>
          <w:b/>
          <w:sz w:val="11"/>
        </w:rPr>
      </w:pPr>
    </w:p>
    <w:p>
      <w:pPr>
        <w:pStyle w:val="Heading1"/>
        <w:numPr>
          <w:ilvl w:val="1"/>
          <w:numId w:val="3"/>
        </w:numPr>
        <w:tabs>
          <w:tab w:pos="921" w:val="left" w:leader="none"/>
          <w:tab w:pos="922" w:val="left" w:leader="none"/>
        </w:tabs>
        <w:spacing w:line="240" w:lineRule="auto" w:before="101" w:after="0"/>
        <w:ind w:left="921" w:right="0" w:hanging="791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ANYAGOK</w:t>
      </w:r>
    </w:p>
    <w:p>
      <w:pPr>
        <w:pStyle w:val="BodyText"/>
        <w:spacing w:before="4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Nem alkalmazható (a termék keverék).</w:t>
      </w:r>
    </w:p>
    <w:p>
      <w:pPr>
        <w:pStyle w:val="BodyText"/>
        <w:spacing w:before="9"/>
        <w:ind w:left="0"/>
        <w:rPr>
          <w:sz w:val="19"/>
        </w:rPr>
      </w:pPr>
    </w:p>
    <w:p>
      <w:pPr>
        <w:pStyle w:val="Heading1"/>
        <w:numPr>
          <w:ilvl w:val="1"/>
          <w:numId w:val="3"/>
        </w:numPr>
        <w:tabs>
          <w:tab w:pos="921" w:val="left" w:leader="none"/>
          <w:tab w:pos="922" w:val="left" w:leader="none"/>
        </w:tabs>
        <w:spacing w:line="240" w:lineRule="auto" w:before="0" w:after="2"/>
        <w:ind w:left="921" w:right="0" w:hanging="791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KEVERÉKEK</w:t>
      </w:r>
    </w:p>
    <w:tbl>
      <w:tblPr>
        <w:tblW w:w="0" w:type="auto"/>
        <w:jc w:val="left"/>
        <w:tblInd w:w="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68"/>
        <w:gridCol w:w="1858"/>
        <w:gridCol w:w="1234"/>
        <w:gridCol w:w="1114"/>
        <w:gridCol w:w="2328"/>
      </w:tblGrid>
      <w:tr>
        <w:trPr>
          <w:trHeight w:val="393" w:hRule="atLeast"/>
        </w:trPr>
        <w:tc>
          <w:tcPr>
            <w:tcW w:w="1968" w:type="dxa"/>
            <w:vMerge w:val="restart"/>
          </w:tcPr>
          <w:p>
            <w:pPr>
              <w:pStyle w:val="TableParagraph"/>
              <w:spacing w:line="240" w:lineRule="auto" w:before="9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line="240" w:lineRule="auto"/>
              <w:ind w:left="466"/>
              <w:rPr>
                <w:b/>
                <w:sz w:val="20"/>
              </w:rPr>
              <w:bidi w:val="0"/>
            </w:pPr>
            <w:r>
              <w:rPr>
                <w:sz w:val="20"/>
                <w:lang w:val="hu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Anyag</w:t>
            </w:r>
          </w:p>
        </w:tc>
        <w:tc>
          <w:tcPr>
            <w:tcW w:w="1858" w:type="dxa"/>
            <w:vMerge w:val="restart"/>
          </w:tcPr>
          <w:p>
            <w:pPr>
              <w:pStyle w:val="TableParagraph"/>
              <w:spacing w:line="240" w:lineRule="auto" w:before="9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line="240" w:lineRule="auto"/>
              <w:ind w:left="677" w:right="666"/>
              <w:jc w:val="center"/>
              <w:rPr>
                <w:b/>
                <w:sz w:val="20"/>
              </w:rPr>
              <w:bidi w:val="0"/>
            </w:pPr>
            <w:r>
              <w:rPr>
                <w:sz w:val="20"/>
                <w:lang w:val="hu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INCI</w:t>
            </w:r>
          </w:p>
        </w:tc>
        <w:tc>
          <w:tcPr>
            <w:tcW w:w="1234" w:type="dxa"/>
            <w:vMerge w:val="restart"/>
          </w:tcPr>
          <w:p>
            <w:pPr>
              <w:pStyle w:val="TableParagraph"/>
              <w:spacing w:line="240" w:lineRule="auto" w:before="9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line="240" w:lineRule="auto"/>
              <w:ind w:left="222"/>
              <w:rPr>
                <w:b/>
                <w:sz w:val="20"/>
              </w:rPr>
              <w:bidi w:val="0"/>
            </w:pPr>
            <w:r>
              <w:rPr>
                <w:sz w:val="20"/>
                <w:lang w:val="hu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CAS-szám</w:t>
            </w:r>
          </w:p>
        </w:tc>
        <w:tc>
          <w:tcPr>
            <w:tcW w:w="1114" w:type="dxa"/>
            <w:vMerge w:val="restart"/>
          </w:tcPr>
          <w:p>
            <w:pPr>
              <w:pStyle w:val="TableParagraph"/>
              <w:spacing w:line="240" w:lineRule="auto" w:before="203"/>
              <w:ind w:left="387" w:right="175" w:hanging="197"/>
              <w:rPr>
                <w:b/>
                <w:sz w:val="20"/>
              </w:rPr>
              <w:bidi w:val="0"/>
            </w:pPr>
            <w:r>
              <w:rPr>
                <w:sz w:val="20"/>
                <w:lang w:val="hu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EK/listaszám</w:t>
            </w:r>
          </w:p>
        </w:tc>
        <w:tc>
          <w:tcPr>
            <w:tcW w:w="2328" w:type="dxa"/>
          </w:tcPr>
          <w:p>
            <w:pPr>
              <w:pStyle w:val="TableParagraph"/>
              <w:spacing w:line="240" w:lineRule="auto" w:before="78"/>
              <w:ind w:left="458"/>
              <w:rPr>
                <w:b/>
                <w:sz w:val="20"/>
              </w:rPr>
              <w:bidi w:val="0"/>
            </w:pPr>
            <w:r>
              <w:rPr>
                <w:sz w:val="20"/>
                <w:lang w:val="hu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Osztályozás:</w:t>
            </w:r>
          </w:p>
        </w:tc>
      </w:tr>
      <w:tr>
        <w:trPr>
          <w:trHeight w:val="484" w:hRule="atLeast"/>
        </w:trPr>
        <w:tc>
          <w:tcPr>
            <w:tcW w:w="19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28" w:type="dxa"/>
          </w:tcPr>
          <w:p>
            <w:pPr>
              <w:pStyle w:val="TableParagraph"/>
              <w:spacing w:line="240" w:lineRule="auto" w:before="1"/>
              <w:ind w:left="302" w:right="294"/>
              <w:jc w:val="center"/>
              <w:rPr>
                <w:b/>
                <w:sz w:val="20"/>
              </w:rPr>
              <w:bidi w:val="0"/>
            </w:pPr>
            <w:r>
              <w:rPr>
                <w:sz w:val="20"/>
                <w:lang w:val="hu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Az EK sz.</w:t>
            </w:r>
          </w:p>
          <w:p>
            <w:pPr>
              <w:pStyle w:val="TableParagraph"/>
              <w:spacing w:line="218" w:lineRule="exact" w:before="3"/>
              <w:ind w:left="302" w:right="294"/>
              <w:jc w:val="center"/>
              <w:rPr>
                <w:b/>
                <w:sz w:val="20"/>
              </w:rPr>
              <w:bidi w:val="0"/>
            </w:pPr>
            <w:r>
              <w:rPr>
                <w:sz w:val="20"/>
                <w:lang w:val="hu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1272/2008</w:t>
            </w:r>
          </w:p>
        </w:tc>
      </w:tr>
      <w:tr>
        <w:trPr>
          <w:trHeight w:val="273" w:hRule="atLeast"/>
        </w:trPr>
        <w:tc>
          <w:tcPr>
            <w:tcW w:w="1968" w:type="dxa"/>
          </w:tcPr>
          <w:p>
            <w:pPr>
              <w:pStyle w:val="TableParagraph"/>
              <w:spacing w:line="237" w:lineRule="exact" w:before="15"/>
              <w:rPr>
                <w:sz w:val="20"/>
              </w:rPr>
              <w:bidi w:val="0"/>
            </w:pPr>
            <w:r>
              <w:rPr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Víz</w:t>
            </w:r>
          </w:p>
        </w:tc>
        <w:tc>
          <w:tcPr>
            <w:tcW w:w="1858" w:type="dxa"/>
          </w:tcPr>
          <w:p>
            <w:pPr>
              <w:pStyle w:val="TableParagraph"/>
              <w:spacing w:line="237" w:lineRule="exact" w:before="15"/>
              <w:rPr>
                <w:sz w:val="20"/>
              </w:rPr>
              <w:bidi w:val="0"/>
            </w:pPr>
            <w:r>
              <w:rPr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Aqua</w:t>
            </w:r>
          </w:p>
        </w:tc>
        <w:tc>
          <w:tcPr>
            <w:tcW w:w="1234" w:type="dxa"/>
          </w:tcPr>
          <w:p>
            <w:pPr>
              <w:pStyle w:val="TableParagraph"/>
              <w:spacing w:line="237" w:lineRule="exact" w:before="15"/>
              <w:rPr>
                <w:sz w:val="20"/>
              </w:rPr>
              <w:bidi w:val="0"/>
            </w:pPr>
            <w:r>
              <w:rPr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7732-18-5</w:t>
            </w:r>
          </w:p>
        </w:tc>
        <w:tc>
          <w:tcPr>
            <w:tcW w:w="1114" w:type="dxa"/>
          </w:tcPr>
          <w:p>
            <w:pPr>
              <w:pStyle w:val="TableParagraph"/>
              <w:spacing w:line="237" w:lineRule="exact" w:before="15"/>
              <w:ind w:left="70"/>
              <w:rPr>
                <w:sz w:val="20"/>
              </w:rPr>
              <w:bidi w:val="0"/>
            </w:pPr>
            <w:r>
              <w:rPr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231-791-2</w:t>
            </w:r>
          </w:p>
        </w:tc>
        <w:tc>
          <w:tcPr>
            <w:tcW w:w="2328" w:type="dxa"/>
          </w:tcPr>
          <w:p>
            <w:pPr>
              <w:pStyle w:val="TableParagraph"/>
              <w:spacing w:line="237" w:lineRule="exact" w:before="15"/>
              <w:ind w:left="70"/>
              <w:rPr>
                <w:sz w:val="20"/>
              </w:rPr>
              <w:bidi w:val="0"/>
            </w:pPr>
            <w:r>
              <w:rPr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Nem minősített.</w:t>
            </w:r>
          </w:p>
        </w:tc>
      </w:tr>
      <w:tr>
        <w:trPr>
          <w:trHeight w:val="273" w:hRule="atLeast"/>
        </w:trPr>
        <w:tc>
          <w:tcPr>
            <w:tcW w:w="1968" w:type="dxa"/>
          </w:tcPr>
          <w:p>
            <w:pPr>
              <w:pStyle w:val="TableParagraph"/>
              <w:spacing w:line="233" w:lineRule="exact" w:before="20"/>
              <w:rPr>
                <w:sz w:val="20"/>
              </w:rPr>
              <w:bidi w:val="0"/>
            </w:pPr>
            <w:r>
              <w:rPr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Glicerol</w:t>
            </w:r>
          </w:p>
        </w:tc>
        <w:tc>
          <w:tcPr>
            <w:tcW w:w="1858" w:type="dxa"/>
          </w:tcPr>
          <w:p>
            <w:pPr>
              <w:pStyle w:val="TableParagraph"/>
              <w:spacing w:line="233" w:lineRule="exact" w:before="20"/>
              <w:rPr>
                <w:sz w:val="20"/>
              </w:rPr>
              <w:bidi w:val="0"/>
            </w:pPr>
            <w:r>
              <w:rPr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Glicerin</w:t>
            </w:r>
          </w:p>
        </w:tc>
        <w:tc>
          <w:tcPr>
            <w:tcW w:w="1234" w:type="dxa"/>
          </w:tcPr>
          <w:p>
            <w:pPr>
              <w:pStyle w:val="TableParagraph"/>
              <w:spacing w:line="233" w:lineRule="exact" w:before="20"/>
              <w:rPr>
                <w:sz w:val="20"/>
              </w:rPr>
              <w:bidi w:val="0"/>
            </w:pPr>
            <w:r>
              <w:rPr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56-81-5</w:t>
            </w:r>
          </w:p>
        </w:tc>
        <w:tc>
          <w:tcPr>
            <w:tcW w:w="1114" w:type="dxa"/>
          </w:tcPr>
          <w:p>
            <w:pPr>
              <w:pStyle w:val="TableParagraph"/>
              <w:spacing w:line="233" w:lineRule="exact" w:before="20"/>
              <w:ind w:left="70"/>
              <w:rPr>
                <w:sz w:val="20"/>
              </w:rPr>
              <w:bidi w:val="0"/>
            </w:pPr>
            <w:r>
              <w:rPr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200-289-5</w:t>
            </w:r>
          </w:p>
        </w:tc>
        <w:tc>
          <w:tcPr>
            <w:tcW w:w="2328" w:type="dxa"/>
          </w:tcPr>
          <w:p>
            <w:pPr>
              <w:pStyle w:val="TableParagraph"/>
              <w:spacing w:line="233" w:lineRule="exact" w:before="20"/>
              <w:ind w:left="70"/>
              <w:rPr>
                <w:sz w:val="20"/>
              </w:rPr>
              <w:bidi w:val="0"/>
            </w:pPr>
            <w:r>
              <w:rPr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Nem minősített.</w:t>
            </w:r>
          </w:p>
        </w:tc>
      </w:tr>
      <w:tr>
        <w:trPr>
          <w:trHeight w:val="460" w:hRule="atLeast"/>
        </w:trPr>
        <w:tc>
          <w:tcPr>
            <w:tcW w:w="1968" w:type="dxa"/>
          </w:tcPr>
          <w:p>
            <w:pPr>
              <w:pStyle w:val="TableParagraph"/>
              <w:spacing w:line="230" w:lineRule="exact"/>
              <w:ind w:right="380"/>
              <w:rPr>
                <w:rFonts w:ascii="Arial"/>
                <w:sz w:val="20"/>
              </w:rPr>
              <w:bidi w:val="0"/>
            </w:pPr>
            <w:r>
              <w:rPr>
                <w:rFonts w:ascii="Arial" w:hAnsi="Arial"/>
                <w:color w:val="212529"/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Króm-oxid zöld</w:t>
            </w:r>
          </w:p>
        </w:tc>
        <w:tc>
          <w:tcPr>
            <w:tcW w:w="1858" w:type="dxa"/>
          </w:tcPr>
          <w:p>
            <w:pPr>
              <w:pStyle w:val="TableParagraph"/>
              <w:spacing w:line="240" w:lineRule="auto" w:before="1"/>
              <w:rPr>
                <w:rFonts w:ascii="Courier New"/>
                <w:sz w:val="20"/>
              </w:rPr>
              <w:bidi w:val="0"/>
            </w:pPr>
            <w:r>
              <w:rPr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CI </w:t>
            </w:r>
            <w:r>
              <w:rPr>
                <w:rFonts w:ascii="Courier New"/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77288</w:t>
            </w:r>
          </w:p>
        </w:tc>
        <w:tc>
          <w:tcPr>
            <w:tcW w:w="1234" w:type="dxa"/>
          </w:tcPr>
          <w:p>
            <w:pPr>
              <w:pStyle w:val="TableParagraph"/>
              <w:rPr>
                <w:rFonts w:ascii="Arial"/>
                <w:sz w:val="20"/>
              </w:rPr>
              <w:bidi w:val="0"/>
            </w:pPr>
            <w:r>
              <w:rPr>
                <w:rFonts w:ascii="Arial" w:hAnsi="Arial"/>
                <w:color w:val="212529"/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1308-38-9</w:t>
            </w:r>
          </w:p>
        </w:tc>
        <w:tc>
          <w:tcPr>
            <w:tcW w:w="1114" w:type="dxa"/>
          </w:tcPr>
          <w:p>
            <w:pPr>
              <w:pStyle w:val="TableParagraph"/>
              <w:ind w:left="70"/>
              <w:rPr>
                <w:rFonts w:ascii="Arial"/>
                <w:sz w:val="20"/>
              </w:rPr>
              <w:bidi w:val="0"/>
            </w:pPr>
            <w:r>
              <w:rPr>
                <w:rFonts w:ascii="Arial" w:hAnsi="Arial"/>
                <w:color w:val="212529"/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215-160-9</w:t>
            </w:r>
          </w:p>
        </w:tc>
        <w:tc>
          <w:tcPr>
            <w:tcW w:w="2328" w:type="dxa"/>
          </w:tcPr>
          <w:p>
            <w:pPr>
              <w:pStyle w:val="TableParagraph"/>
              <w:spacing w:line="240" w:lineRule="auto" w:before="111"/>
              <w:ind w:left="70"/>
              <w:rPr>
                <w:sz w:val="20"/>
              </w:rPr>
              <w:bidi w:val="0"/>
            </w:pPr>
            <w:r>
              <w:rPr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Nem minősített.</w:t>
            </w:r>
          </w:p>
        </w:tc>
      </w:tr>
      <w:tr>
        <w:trPr>
          <w:trHeight w:val="273" w:hRule="atLeast"/>
        </w:trPr>
        <w:tc>
          <w:tcPr>
            <w:tcW w:w="1968" w:type="dxa"/>
          </w:tcPr>
          <w:p>
            <w:pPr>
              <w:pStyle w:val="TableParagraph"/>
              <w:rPr>
                <w:rFonts w:ascii="Arial"/>
                <w:sz w:val="20"/>
              </w:rPr>
              <w:bidi w:val="0"/>
            </w:pPr>
            <w:r>
              <w:rPr>
                <w:rFonts w:ascii="Arial" w:hAnsi="Arial"/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Vas vörös-oxid</w:t>
            </w:r>
          </w:p>
        </w:tc>
        <w:tc>
          <w:tcPr>
            <w:tcW w:w="1858" w:type="dxa"/>
          </w:tcPr>
          <w:p>
            <w:pPr>
              <w:pStyle w:val="TableParagraph"/>
              <w:spacing w:line="240" w:lineRule="auto" w:before="1"/>
              <w:rPr>
                <w:rFonts w:ascii="Arial"/>
                <w:sz w:val="20"/>
              </w:rPr>
              <w:bidi w:val="0"/>
            </w:pPr>
            <w:r>
              <w:rPr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CI </w:t>
            </w:r>
            <w:r>
              <w:rPr>
                <w:rFonts w:ascii="Arial"/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77491</w:t>
            </w:r>
          </w:p>
        </w:tc>
        <w:tc>
          <w:tcPr>
            <w:tcW w:w="1234" w:type="dxa"/>
          </w:tcPr>
          <w:p>
            <w:pPr>
              <w:pStyle w:val="TableParagraph"/>
              <w:rPr>
                <w:rFonts w:ascii="Arial"/>
                <w:sz w:val="20"/>
              </w:rPr>
              <w:bidi w:val="0"/>
            </w:pPr>
            <w:r>
              <w:rPr>
                <w:rFonts w:ascii="Arial" w:hAnsi="Arial"/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1309-37-1</w:t>
            </w:r>
          </w:p>
        </w:tc>
        <w:tc>
          <w:tcPr>
            <w:tcW w:w="1114" w:type="dxa"/>
          </w:tcPr>
          <w:p>
            <w:pPr>
              <w:pStyle w:val="TableParagraph"/>
              <w:ind w:left="70"/>
              <w:rPr>
                <w:rFonts w:ascii="Arial"/>
                <w:sz w:val="20"/>
              </w:rPr>
              <w:bidi w:val="0"/>
            </w:pPr>
            <w:r>
              <w:rPr>
                <w:rFonts w:ascii="Arial" w:hAnsi="Arial"/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215-168-2</w:t>
            </w:r>
          </w:p>
        </w:tc>
        <w:tc>
          <w:tcPr>
            <w:tcW w:w="2328" w:type="dxa"/>
          </w:tcPr>
          <w:p>
            <w:pPr>
              <w:pStyle w:val="TableParagraph"/>
              <w:spacing w:line="233" w:lineRule="exact" w:before="20"/>
              <w:ind w:left="70"/>
              <w:rPr>
                <w:sz w:val="20"/>
              </w:rPr>
              <w:bidi w:val="0"/>
            </w:pPr>
            <w:r>
              <w:rPr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Nem minősített.</w:t>
            </w:r>
          </w:p>
        </w:tc>
      </w:tr>
      <w:tr>
        <w:trPr>
          <w:trHeight w:val="277" w:hRule="atLeast"/>
        </w:trPr>
        <w:tc>
          <w:tcPr>
            <w:tcW w:w="1968" w:type="dxa"/>
          </w:tcPr>
          <w:p>
            <w:pPr>
              <w:pStyle w:val="TableParagraph"/>
              <w:rPr>
                <w:rFonts w:ascii="Arial"/>
                <w:sz w:val="20"/>
              </w:rPr>
              <w:bidi w:val="0"/>
            </w:pPr>
            <w:r>
              <w:rPr>
                <w:rFonts w:ascii="Arial" w:hAnsi="Arial"/>
                <w:color w:val="212529"/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Sárga vas-oxid</w:t>
            </w:r>
          </w:p>
        </w:tc>
        <w:tc>
          <w:tcPr>
            <w:tcW w:w="1858" w:type="dxa"/>
          </w:tcPr>
          <w:p>
            <w:pPr>
              <w:pStyle w:val="TableParagraph"/>
              <w:spacing w:line="257" w:lineRule="exact" w:before="1"/>
              <w:rPr>
                <w:rFonts w:ascii="Courier New"/>
                <w:sz w:val="20"/>
              </w:rPr>
              <w:bidi w:val="0"/>
            </w:pPr>
            <w:r>
              <w:rPr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CI </w:t>
            </w:r>
            <w:r>
              <w:rPr>
                <w:rFonts w:ascii="Courier New"/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77492</w:t>
            </w:r>
          </w:p>
        </w:tc>
        <w:tc>
          <w:tcPr>
            <w:tcW w:w="1234" w:type="dxa"/>
          </w:tcPr>
          <w:p>
            <w:pPr>
              <w:pStyle w:val="TableParagraph"/>
              <w:rPr>
                <w:rFonts w:ascii="Arial"/>
                <w:sz w:val="20"/>
              </w:rPr>
              <w:bidi w:val="0"/>
            </w:pPr>
            <w:r>
              <w:rPr>
                <w:rFonts w:ascii="Arial" w:hAnsi="Arial"/>
                <w:color w:val="212529"/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51274-00-1</w:t>
            </w:r>
          </w:p>
        </w:tc>
        <w:tc>
          <w:tcPr>
            <w:tcW w:w="1114" w:type="dxa"/>
          </w:tcPr>
          <w:p>
            <w:pPr>
              <w:pStyle w:val="TableParagraph"/>
              <w:ind w:left="70"/>
              <w:rPr>
                <w:rFonts w:ascii="Arial"/>
                <w:sz w:val="20"/>
              </w:rPr>
              <w:bidi w:val="0"/>
            </w:pPr>
            <w:r>
              <w:rPr>
                <w:rFonts w:ascii="Arial" w:hAnsi="Arial"/>
                <w:color w:val="212529"/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257-098-5</w:t>
            </w:r>
          </w:p>
        </w:tc>
        <w:tc>
          <w:tcPr>
            <w:tcW w:w="2328" w:type="dxa"/>
          </w:tcPr>
          <w:p>
            <w:pPr>
              <w:pStyle w:val="TableParagraph"/>
              <w:spacing w:line="237" w:lineRule="exact" w:before="20"/>
              <w:ind w:left="70"/>
              <w:rPr>
                <w:sz w:val="20"/>
              </w:rPr>
              <w:bidi w:val="0"/>
            </w:pPr>
            <w:r>
              <w:rPr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Nem minősített.</w:t>
            </w:r>
          </w:p>
        </w:tc>
      </w:tr>
      <w:tr>
        <w:trPr>
          <w:trHeight w:val="273" w:hRule="atLeast"/>
        </w:trPr>
        <w:tc>
          <w:tcPr>
            <w:tcW w:w="1968" w:type="dxa"/>
          </w:tcPr>
          <w:p>
            <w:pPr>
              <w:pStyle w:val="TableParagraph"/>
              <w:rPr>
                <w:rFonts w:ascii="Arial"/>
                <w:sz w:val="20"/>
              </w:rPr>
              <w:bidi w:val="0"/>
            </w:pPr>
            <w:r>
              <w:rPr>
                <w:rFonts w:ascii="Arial" w:hAnsi="Arial"/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Pigment Red 5</w:t>
            </w:r>
          </w:p>
        </w:tc>
        <w:tc>
          <w:tcPr>
            <w:tcW w:w="1858" w:type="dxa"/>
          </w:tcPr>
          <w:p>
            <w:pPr>
              <w:pStyle w:val="TableParagraph"/>
              <w:spacing w:line="252" w:lineRule="exact" w:before="1"/>
              <w:rPr>
                <w:rFonts w:ascii="Courier New"/>
                <w:sz w:val="20"/>
              </w:rPr>
              <w:bidi w:val="0"/>
            </w:pPr>
            <w:r>
              <w:rPr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CI </w:t>
            </w:r>
            <w:r>
              <w:rPr>
                <w:rFonts w:ascii="Courier New"/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12490</w:t>
            </w:r>
          </w:p>
        </w:tc>
        <w:tc>
          <w:tcPr>
            <w:tcW w:w="1234" w:type="dxa"/>
          </w:tcPr>
          <w:p>
            <w:pPr>
              <w:pStyle w:val="TableParagraph"/>
              <w:rPr>
                <w:rFonts w:ascii="Arial"/>
                <w:sz w:val="20"/>
              </w:rPr>
              <w:bidi w:val="0"/>
            </w:pPr>
            <w:r>
              <w:rPr>
                <w:rFonts w:ascii="Arial" w:hAnsi="Arial"/>
                <w:color w:val="212529"/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6410-41-9</w:t>
            </w:r>
          </w:p>
        </w:tc>
        <w:tc>
          <w:tcPr>
            <w:tcW w:w="1114" w:type="dxa"/>
          </w:tcPr>
          <w:p>
            <w:pPr>
              <w:pStyle w:val="TableParagraph"/>
              <w:ind w:left="70"/>
              <w:rPr>
                <w:rFonts w:ascii="Arial"/>
                <w:sz w:val="20"/>
              </w:rPr>
              <w:bidi w:val="0"/>
            </w:pPr>
            <w:r>
              <w:rPr>
                <w:rFonts w:ascii="Arial" w:hAnsi="Arial"/>
                <w:color w:val="212529"/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229-107-2</w:t>
            </w:r>
          </w:p>
        </w:tc>
        <w:tc>
          <w:tcPr>
            <w:tcW w:w="2328" w:type="dxa"/>
          </w:tcPr>
          <w:p>
            <w:pPr>
              <w:pStyle w:val="TableParagraph"/>
              <w:spacing w:line="237" w:lineRule="exact" w:before="15"/>
              <w:ind w:left="70"/>
              <w:rPr>
                <w:sz w:val="20"/>
              </w:rPr>
              <w:bidi w:val="0"/>
            </w:pPr>
            <w:r>
              <w:rPr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Nem minősített.</w:t>
            </w:r>
          </w:p>
        </w:tc>
      </w:tr>
      <w:tr>
        <w:trPr>
          <w:trHeight w:val="273" w:hRule="atLeast"/>
        </w:trPr>
        <w:tc>
          <w:tcPr>
            <w:tcW w:w="1968" w:type="dxa"/>
          </w:tcPr>
          <w:p>
            <w:pPr>
              <w:pStyle w:val="TableParagraph"/>
              <w:rPr>
                <w:rFonts w:ascii="Arial"/>
                <w:sz w:val="20"/>
              </w:rPr>
              <w:bidi w:val="0"/>
            </w:pPr>
            <w:r>
              <w:rPr>
                <w:rFonts w:ascii="Arial" w:hAnsi="Arial"/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Piros festék</w:t>
            </w:r>
          </w:p>
        </w:tc>
        <w:tc>
          <w:tcPr>
            <w:tcW w:w="1858" w:type="dxa"/>
          </w:tcPr>
          <w:p>
            <w:pPr>
              <w:pStyle w:val="TableParagraph"/>
              <w:spacing w:line="252" w:lineRule="exact" w:before="1"/>
              <w:rPr>
                <w:rFonts w:ascii="Courier New"/>
                <w:sz w:val="20"/>
              </w:rPr>
              <w:bidi w:val="0"/>
            </w:pPr>
            <w:r>
              <w:rPr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CI </w:t>
            </w:r>
            <w:r>
              <w:rPr>
                <w:rFonts w:ascii="Courier New"/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73915</w:t>
            </w:r>
          </w:p>
        </w:tc>
        <w:tc>
          <w:tcPr>
            <w:tcW w:w="1234" w:type="dxa"/>
          </w:tcPr>
          <w:p>
            <w:pPr>
              <w:pStyle w:val="TableParagraph"/>
              <w:rPr>
                <w:rFonts w:ascii="Arial"/>
                <w:sz w:val="20"/>
              </w:rPr>
              <w:bidi w:val="0"/>
            </w:pPr>
            <w:r>
              <w:rPr>
                <w:rFonts w:ascii="Arial" w:hAnsi="Arial"/>
                <w:color w:val="212529"/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980-26-7</w:t>
            </w:r>
          </w:p>
        </w:tc>
        <w:tc>
          <w:tcPr>
            <w:tcW w:w="1114" w:type="dxa"/>
          </w:tcPr>
          <w:p>
            <w:pPr>
              <w:pStyle w:val="TableParagraph"/>
              <w:ind w:left="70"/>
              <w:rPr>
                <w:rFonts w:ascii="Arial"/>
                <w:sz w:val="20"/>
              </w:rPr>
              <w:bidi w:val="0"/>
            </w:pPr>
            <w:r>
              <w:rPr>
                <w:rFonts w:ascii="Arial" w:hAnsi="Arial"/>
                <w:color w:val="212529"/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213-561-3</w:t>
            </w:r>
          </w:p>
        </w:tc>
        <w:tc>
          <w:tcPr>
            <w:tcW w:w="2328" w:type="dxa"/>
          </w:tcPr>
          <w:p>
            <w:pPr>
              <w:pStyle w:val="TableParagraph"/>
              <w:spacing w:line="237" w:lineRule="exact" w:before="15"/>
              <w:ind w:left="70"/>
              <w:rPr>
                <w:sz w:val="20"/>
              </w:rPr>
              <w:bidi w:val="0"/>
            </w:pPr>
            <w:r>
              <w:rPr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Nem minősített.</w:t>
            </w:r>
          </w:p>
        </w:tc>
      </w:tr>
    </w:tbl>
    <w:p>
      <w:pPr>
        <w:spacing w:before="4"/>
        <w:ind w:left="131" w:right="0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További információ: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 H-mondatok teljes szövegét lásd a 16. szakaszban.</w:t>
      </w:r>
    </w:p>
    <w:p>
      <w:pPr>
        <w:pStyle w:val="BodyText"/>
        <w:ind w:left="0"/>
        <w:rPr>
          <w:sz w:val="24"/>
        </w:rPr>
      </w:pPr>
    </w:p>
    <w:p>
      <w:pPr>
        <w:spacing w:before="194"/>
        <w:ind w:left="131" w:right="0" w:firstLine="0"/>
        <w:jc w:val="left"/>
        <w:rPr>
          <w:b/>
          <w:sz w:val="20"/>
        </w:rPr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pict>
          <v:rect style="position:absolute;margin-left:56.1506pt;margin-top:22.584871pt;width:513.12pt;height:.48pt;mso-position-horizontal-relative:page;mso-position-vertical-relative:paragraph;z-index:-15727104;mso-wrap-distance-left:0;mso-wrap-distance-right:0" id="docshape7" filled="true" fillcolor="#000000" stroked="false">
            <v:fill type="solid"/>
            <w10:wrap type="topAndBottom"/>
          </v:rect>
        </w:pic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4. szakasz </w: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ELSŐSEGÉLY-NYÚJTÁSI INTÉZKEDÉSEK</w:t>
      </w:r>
    </w:p>
    <w:p>
      <w:pPr>
        <w:pStyle w:val="BodyText"/>
        <w:spacing w:before="11"/>
        <w:ind w:left="0"/>
        <w:rPr>
          <w:b/>
          <w:sz w:val="11"/>
        </w:rPr>
      </w:pPr>
    </w:p>
    <w:p>
      <w:pPr>
        <w:pStyle w:val="Heading1"/>
        <w:numPr>
          <w:ilvl w:val="1"/>
          <w:numId w:val="4"/>
        </w:numPr>
        <w:tabs>
          <w:tab w:pos="851" w:val="left" w:leader="none"/>
          <w:tab w:pos="852" w:val="left" w:leader="none"/>
        </w:tabs>
        <w:spacing w:line="241" w:lineRule="exact" w:before="102" w:after="0"/>
        <w:ind w:left="851" w:right="0" w:hanging="721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AZ ELSŐSEGÉLY-NYÚJTÁSI INTÉZKEDÉSEK ISMERTETÉSE</w:t>
      </w:r>
    </w:p>
    <w:p>
      <w:pPr>
        <w:spacing w:line="240" w:lineRule="exact" w:before="0"/>
        <w:ind w:left="131" w:right="0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Általános információk.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 Ha bármilyen kellemetlen érzés jelentkezik, forduljon orvoshoz.</w:t>
      </w:r>
    </w:p>
    <w:p>
      <w:pPr>
        <w:pStyle w:val="BodyTex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Ha a termék bőrre került. 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Kérjen orvosi ellátást, ha tartós irritáció alakul ki. A bőrt le kell öblíteni vízzel/zuhanyozás. </w:t>
      </w: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Szembe jutás. 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Azonnal mossa ki a szemet bő vízzel. Azonnal forduljon orvoshoz, ha az irritáció folytatódik.</w:t>
      </w:r>
    </w:p>
    <w:p>
      <w:pPr>
        <w:spacing w:line="241" w:lineRule="exact" w:before="0"/>
        <w:ind w:left="131" w:right="0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Belélegzést követően.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 sérültet vigye friss levegőre. Tünetek kialakulása vagy fennállása esetén hívjon orvost.</w:t>
      </w:r>
    </w:p>
    <w:p>
      <w:pPr>
        <w:pStyle w:val="BodyText"/>
        <w:spacing w:line="242" w:lineRule="auto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Lenyelés. 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 szájat ki kell öblíteni. Nagy mennyiségű lenyelés esetén azonnal hívja a mérgezési központot.</w:t>
      </w:r>
    </w:p>
    <w:p>
      <w:pPr>
        <w:spacing w:line="239" w:lineRule="exact" w:before="0"/>
        <w:ind w:left="131" w:right="0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Elsősegélyt nyújtók védelme: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Saját biztonságukról való gondoskodás.</w:t>
      </w:r>
    </w:p>
    <w:p>
      <w:pPr>
        <w:pStyle w:val="BodyText"/>
        <w:spacing w:before="1"/>
        <w:ind w:left="0"/>
      </w:pPr>
    </w:p>
    <w:p>
      <w:pPr>
        <w:pStyle w:val="Heading1"/>
        <w:numPr>
          <w:ilvl w:val="1"/>
          <w:numId w:val="4"/>
        </w:numPr>
        <w:tabs>
          <w:tab w:pos="957" w:val="left" w:leader="none"/>
          <w:tab w:pos="958" w:val="left" w:leader="none"/>
        </w:tabs>
        <w:spacing w:line="241" w:lineRule="exact" w:before="0" w:after="0"/>
        <w:ind w:left="958" w:right="0" w:hanging="827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A LEGFONTOSABB – AKUT ÉS KÉSLELTETETT – TÜNETEK ÉS HATÁSOK</w:t>
      </w:r>
    </w:p>
    <w:p>
      <w:pPr>
        <w:pStyle w:val="BodyText"/>
        <w:spacing w:line="241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Nem áll rendelkezésre adat.</w:t>
      </w:r>
    </w:p>
    <w:p>
      <w:pPr>
        <w:pStyle w:val="BodyText"/>
        <w:spacing w:before="2"/>
        <w:ind w:left="0"/>
      </w:pPr>
    </w:p>
    <w:p>
      <w:pPr>
        <w:pStyle w:val="Heading1"/>
        <w:numPr>
          <w:ilvl w:val="1"/>
          <w:numId w:val="4"/>
        </w:numPr>
        <w:tabs>
          <w:tab w:pos="982" w:val="left" w:leader="none"/>
          <w:tab w:pos="983" w:val="left" w:leader="none"/>
        </w:tabs>
        <w:spacing w:line="241" w:lineRule="exact" w:before="0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A SZÜKSÉGES AZONNALI ORVOSI ELLÁTÁS ÉS KÜLÖNLEGES ELLÁTÁS JELZÉSE</w:t>
      </w:r>
    </w:p>
    <w:p>
      <w:pPr>
        <w:pStyle w:val="BodyTex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Tüneti kezelést igényel. Mérgezés gyanúja esetén haladéktalanul fordulni kell az Országos Mérgezési Információs Központhoz, a segélyhívó telefonszámot lásd az 1.4. pontban.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spacing w:before="9"/>
        <w:ind w:left="0"/>
        <w:rPr>
          <w:sz w:val="35"/>
        </w:rPr>
      </w:pPr>
    </w:p>
    <w:p>
      <w:pPr>
        <w:spacing w:before="1"/>
        <w:ind w:left="131" w:right="0" w:firstLine="0"/>
        <w:jc w:val="left"/>
        <w:rPr>
          <w:b/>
          <w:sz w:val="20"/>
        </w:rPr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pict>
          <v:rect style="position:absolute;margin-left:56.1506pt;margin-top:13.174881pt;width:513.12pt;height:.48pt;mso-position-horizontal-relative:page;mso-position-vertical-relative:paragraph;z-index:-15726592;mso-wrap-distance-left:0;mso-wrap-distance-right:0" id="docshape8" filled="true" fillcolor="#000000" stroked="false">
            <v:fill type="solid"/>
            <w10:wrap type="topAndBottom"/>
          </v:rect>
        </w:pic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5. szakasz </w: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TŰZVÉDELMI INTÉZKEDÉSEK</w:t>
      </w:r>
    </w:p>
    <w:p>
      <w:pPr>
        <w:pStyle w:val="BodyText"/>
        <w:spacing w:before="7"/>
        <w:ind w:left="0"/>
        <w:rPr>
          <w:b/>
          <w:sz w:val="11"/>
        </w:rPr>
      </w:pPr>
    </w:p>
    <w:p>
      <w:pPr>
        <w:spacing w:before="101"/>
        <w:ind w:left="131" w:right="0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Általános tűzveszély.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Tisztítsa meg a tűzterületet minden nem sürgősségi személyzettől.</w:t>
      </w:r>
    </w:p>
    <w:p>
      <w:pPr>
        <w:pStyle w:val="BodyText"/>
        <w:spacing w:before="2"/>
        <w:ind w:left="0"/>
      </w:pPr>
    </w:p>
    <w:p>
      <w:pPr>
        <w:pStyle w:val="Heading1"/>
        <w:numPr>
          <w:ilvl w:val="1"/>
          <w:numId w:val="5"/>
        </w:numPr>
        <w:tabs>
          <w:tab w:pos="982" w:val="left" w:leader="none"/>
          <w:tab w:pos="983" w:val="left" w:leader="none"/>
        </w:tabs>
        <w:spacing w:line="241" w:lineRule="exact" w:before="0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OLTÓANYAGOK</w:t>
      </w:r>
    </w:p>
    <w:p>
      <w:pPr>
        <w:spacing w:line="240" w:lineRule="exact" w:before="0"/>
        <w:ind w:left="131" w:right="0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single"/>
          <w:vertAlign w:val="baseline"/>
          <w:rtl w:val="0"/>
        </w:rPr>
        <w:t xml:space="preserve">A megfelelő oltóanyag.</w: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Vízpermet, hab, száraz vegyszer vagy szén-dioxid (CO</w:t>
      </w:r>
      <w:r>
        <w:rPr>
          <w:sz w:val="13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2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).</w:t>
      </w:r>
    </w:p>
    <w:p>
      <w:pPr>
        <w:spacing w:line="241" w:lineRule="exact" w:before="0"/>
        <w:ind w:left="131" w:right="0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single"/>
          <w:vertAlign w:val="baseline"/>
          <w:rtl w:val="0"/>
        </w:rPr>
        <w:t xml:space="preserve">Nem alkalmazható oltóanyagok.</w: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Ne használjon oltóanyagként vízsugarat, ez ugyanis a tűz további terjedését okozza.</w:t>
      </w:r>
    </w:p>
    <w:p>
      <w:pPr>
        <w:pStyle w:val="BodyText"/>
        <w:spacing w:before="2"/>
        <w:ind w:left="0"/>
      </w:pPr>
    </w:p>
    <w:p>
      <w:pPr>
        <w:pStyle w:val="Heading1"/>
        <w:numPr>
          <w:ilvl w:val="1"/>
          <w:numId w:val="5"/>
        </w:numPr>
        <w:tabs>
          <w:tab w:pos="982" w:val="left" w:leader="none"/>
          <w:tab w:pos="983" w:val="left" w:leader="none"/>
        </w:tabs>
        <w:spacing w:line="241" w:lineRule="exact" w:before="0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AZ ANYAGBÓL VAGY A KEVERÉKBŐL SZÁRMAZÓ KÜLÖNLEGES VESZÉLYEK</w:t>
      </w:r>
    </w:p>
    <w:p>
      <w:pPr>
        <w:pStyle w:val="BodyText"/>
        <w:spacing w:line="241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 termék bomlása során szén-monoxid, szén-dioxid és egyéb anyagok szabadulnak fel.</w:t>
      </w:r>
    </w:p>
    <w:p>
      <w:pPr>
        <w:spacing w:after="0" w:line="241" w:lineRule="exact"/>
        <w:sectPr>
          <w:pgSz w:w="11910" w:h="16840"/>
          <w:pgMar w:header="585" w:footer="0" w:top="2300" w:bottom="280" w:left="1020" w:right="420"/>
        </w:sectPr>
      </w:pPr>
    </w:p>
    <w:p>
      <w:pPr>
        <w:pStyle w:val="BodyText"/>
        <w:ind w:left="0"/>
      </w:pPr>
    </w:p>
    <w:p>
      <w:pPr>
        <w:pStyle w:val="BodyText"/>
        <w:spacing w:before="3"/>
        <w:ind w:left="0"/>
        <w:rPr>
          <w:sz w:val="22"/>
        </w:rPr>
      </w:pPr>
    </w:p>
    <w:p>
      <w:pPr>
        <w:pStyle w:val="Heading1"/>
        <w:numPr>
          <w:ilvl w:val="1"/>
          <w:numId w:val="5"/>
        </w:numPr>
        <w:tabs>
          <w:tab w:pos="982" w:val="left" w:leader="none"/>
          <w:tab w:pos="983" w:val="left" w:leader="none"/>
        </w:tabs>
        <w:spacing w:line="241" w:lineRule="exact" w:before="0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TŰZOLTÓKNAK SZÓLÓ JAVASLAT</w:t>
      </w:r>
    </w:p>
    <w:p>
      <w:pPr>
        <w:spacing w:line="242" w:lineRule="auto" w:before="0"/>
        <w:ind w:left="131" w:right="125" w:firstLine="0"/>
        <w:jc w:val="both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Különleges védőfelszerelés a tűzoltók számára.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 tűzoltóknak önálló légzőkészüléket és megfelelő védőruházatot kell viselniük, ha fennáll a bomlástermékekkel való érintkezés veszélye.</w:t>
      </w:r>
    </w:p>
    <w:p>
      <w:pPr>
        <w:pStyle w:val="BodyText"/>
        <w:spacing w:line="237" w:lineRule="auto"/>
        <w:ind w:right="125"/>
        <w:jc w:val="both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Különleges tűzoltási eljárások. 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Ne lélegezze be a tűz által kibocsátott anyagokat. Vigye el a tartályokat a tűz területétől, ha ez kockázat nélkül megtehető. A bontatlan tartályokat vízköddel hűtse. A megfelelő mennyiségű vizet öntő hűtőtartályok és a tűz kialszik. Meg kell akadályozni, hogy az anyag a vízelvezető rendszerbe, felszíni vizekbe kerüljön.</w:t>
      </w:r>
    </w:p>
    <w:p>
      <w:pPr>
        <w:pStyle w:val="BodyText"/>
        <w:ind w:left="0"/>
        <w:rPr>
          <w:sz w:val="24"/>
        </w:rPr>
      </w:pPr>
    </w:p>
    <w:p>
      <w:pPr>
        <w:spacing w:before="195"/>
        <w:ind w:left="131" w:right="0" w:firstLine="0"/>
        <w:jc w:val="both"/>
        <w:rPr>
          <w:b/>
          <w:sz w:val="20"/>
        </w:rPr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pict>
          <v:rect style="position:absolute;margin-left:56.1506pt;margin-top:22.874901pt;width:513.12pt;height:.48pt;mso-position-horizontal-relative:page;mso-position-vertical-relative:paragraph;z-index:-15726080;mso-wrap-distance-left:0;mso-wrap-distance-right:0" id="docshape9" filled="true" fillcolor="#000000" stroked="false">
            <v:fill type="solid"/>
            <w10:wrap type="topAndBottom"/>
          </v:rect>
        </w:pic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6. szakasz </w: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INTÉZKEDÉSEK VÉLETLENSZERŰ EXPOZÍCIÓNÁL</w:t>
      </w:r>
    </w:p>
    <w:p>
      <w:pPr>
        <w:pStyle w:val="BodyText"/>
        <w:spacing w:before="7"/>
        <w:ind w:left="0"/>
        <w:rPr>
          <w:b/>
          <w:sz w:val="11"/>
        </w:rPr>
      </w:pPr>
    </w:p>
    <w:p>
      <w:pPr>
        <w:pStyle w:val="Heading1"/>
        <w:numPr>
          <w:ilvl w:val="1"/>
          <w:numId w:val="6"/>
        </w:numPr>
        <w:tabs>
          <w:tab w:pos="982" w:val="left" w:leader="none"/>
          <w:tab w:pos="983" w:val="left" w:leader="none"/>
        </w:tabs>
        <w:spacing w:line="241" w:lineRule="exact" w:before="101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SZEMÉLYI ÓVINTÉZKEDÉSEK, EGYÉNI VÉDŐESZKÖZÖK ÉS VÉSZHELYZETI ELJÁRÁSOK</w:t>
      </w:r>
    </w:p>
    <w:p>
      <w:pPr>
        <w:spacing w:line="242" w:lineRule="auto" w:before="0"/>
        <w:ind w:left="131" w:right="0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A sürgősségi ellátást nyújtó személyzettől eltérő személyzet számára.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Tartsa távol a szükségtelen személyzetet. Takarítás közben viseljen megfelelő védőfelszerelést és védőruházatot.</w:t>
      </w:r>
    </w:p>
    <w:p>
      <w:pPr>
        <w:spacing w:line="237" w:lineRule="auto" w:before="0"/>
        <w:ind w:left="131" w:right="82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A sürgősségi ellátást nyújtó személyzet számára.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Tartsa távol a szükségtelen személyzetet. Használja a biztonsági adatlap 8. szakaszában javasolt személyi védelmet.</w:t>
      </w:r>
    </w:p>
    <w:p>
      <w:pPr>
        <w:pStyle w:val="BodyText"/>
        <w:spacing w:before="2"/>
        <w:ind w:left="0"/>
      </w:pPr>
    </w:p>
    <w:p>
      <w:pPr>
        <w:pStyle w:val="Heading1"/>
        <w:numPr>
          <w:ilvl w:val="1"/>
          <w:numId w:val="6"/>
        </w:numPr>
        <w:tabs>
          <w:tab w:pos="982" w:val="left" w:leader="none"/>
          <w:tab w:pos="983" w:val="left" w:leader="none"/>
        </w:tabs>
        <w:spacing w:line="241" w:lineRule="exact" w:before="0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KÖRNYEZETVÉDELMI ÓVINTÉZKEDÉSEK</w:t>
      </w:r>
    </w:p>
    <w:p>
      <w:pPr>
        <w:pStyle w:val="BodyText"/>
        <w:spacing w:line="241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Kerülje el a talaj és a víz szennyeződését. Amennyiben biztonságosan megoldható, gondoskodjon a további szivárgás és kiömlés megakadályozásáról.</w:t>
      </w:r>
    </w:p>
    <w:p>
      <w:pPr>
        <w:pStyle w:val="BodyText"/>
        <w:spacing w:before="2"/>
        <w:ind w:left="0"/>
      </w:pPr>
    </w:p>
    <w:p>
      <w:pPr>
        <w:pStyle w:val="Heading1"/>
        <w:numPr>
          <w:ilvl w:val="1"/>
          <w:numId w:val="6"/>
        </w:numPr>
        <w:tabs>
          <w:tab w:pos="982" w:val="left" w:leader="none"/>
          <w:tab w:pos="983" w:val="left" w:leader="none"/>
        </w:tabs>
        <w:spacing w:line="241" w:lineRule="exact" w:before="0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A TERÜLETI ELHATÁROLÁS ÉS A SZENNYEZÉSMENTESÍTÉS MÓDSZEREI ÉS ANYAGAI</w:t>
      </w:r>
    </w:p>
    <w:p>
      <w:pPr>
        <w:pStyle w:val="BodyTex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Megakadályozza a gőzfelhőt. Amennyiben biztonságosan megoldható, gondoskodjon a további szivárgás és kiömlés megakadályozásáról. Söpörje fel és lapátolja be a megfelelő tartályokba ártalmatlanításhoz. A megsemmisítés a helyi előírásoknak megfelelően történjen.</w:t>
      </w:r>
    </w:p>
    <w:p>
      <w:pPr>
        <w:pStyle w:val="BodyText"/>
        <w:ind w:left="0"/>
      </w:pPr>
    </w:p>
    <w:p>
      <w:pPr>
        <w:pStyle w:val="Heading1"/>
        <w:numPr>
          <w:ilvl w:val="1"/>
          <w:numId w:val="6"/>
        </w:numPr>
        <w:tabs>
          <w:tab w:pos="982" w:val="left" w:leader="none"/>
          <w:tab w:pos="983" w:val="left" w:leader="none"/>
        </w:tabs>
        <w:spacing w:line="241" w:lineRule="exact" w:before="0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HIVATKOZÁS MÁS SZAKASZOKRA</w:t>
      </w:r>
    </w:p>
    <w:p>
      <w:pPr>
        <w:pStyle w:val="BodyText"/>
        <w:spacing w:line="241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 személyi védelemmel kapcsolatban lásd a 8. szakaszt. A hulladékkezeléssel kapcsolatban lásd a 13. fejezetet.</w:t>
      </w:r>
    </w:p>
    <w:p>
      <w:pPr>
        <w:pStyle w:val="BodyText"/>
        <w:ind w:left="0"/>
        <w:rPr>
          <w:sz w:val="24"/>
        </w:rPr>
      </w:pPr>
    </w:p>
    <w:p>
      <w:pPr>
        <w:spacing w:before="194"/>
        <w:ind w:left="131" w:right="0" w:firstLine="0"/>
        <w:jc w:val="left"/>
        <w:rPr>
          <w:b/>
          <w:sz w:val="20"/>
        </w:rPr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pict>
          <v:rect style="position:absolute;margin-left:56.1506pt;margin-top:22.824896pt;width:513.12pt;height:.48pt;mso-position-horizontal-relative:page;mso-position-vertical-relative:paragraph;z-index:-15725568;mso-wrap-distance-left:0;mso-wrap-distance-right:0" id="docshape10" filled="true" fillcolor="#000000" stroked="false">
            <v:fill type="solid"/>
            <w10:wrap type="topAndBottom"/>
          </v:rect>
        </w:pic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7. szakasz </w: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KEZELÉS ÉS TÁROLÁS</w:t>
      </w:r>
    </w:p>
    <w:p>
      <w:pPr>
        <w:pStyle w:val="BodyText"/>
        <w:spacing w:before="7"/>
        <w:ind w:left="0"/>
        <w:rPr>
          <w:b/>
          <w:sz w:val="11"/>
        </w:rPr>
      </w:pPr>
    </w:p>
    <w:p>
      <w:pPr>
        <w:pStyle w:val="Heading1"/>
        <w:numPr>
          <w:ilvl w:val="1"/>
          <w:numId w:val="7"/>
        </w:numPr>
        <w:tabs>
          <w:tab w:pos="982" w:val="left" w:leader="none"/>
          <w:tab w:pos="983" w:val="left" w:leader="none"/>
        </w:tabs>
        <w:spacing w:line="241" w:lineRule="exact" w:before="101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A BIZTONSÁGOS KEZELÉSRE IRÁNYULÓ ÓVINTÉZKEDÉSEK</w:t>
      </w:r>
    </w:p>
    <w:p>
      <w:pPr>
        <w:pStyle w:val="BodyText"/>
        <w:ind w:right="123"/>
        <w:jc w:val="both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Biztonságos kezelésre irányuló tanácsok. 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Viseljen megfelelő egyéni védőfelszerelést (lásd 8. szakasz). Bőrre és szembe ne kerüljön. Tilos az étkezés, ivás és a dohányzás azokon a helyeken, ahol az anyag kezelése, tárolása és feldolgozása történik. Evés, ivás vagy dohányzás előtt az érintett munkatársaknak kezet kell mosniuk. Az étkezésre szolgáló területekre való belépés előtt távolítsa el a szennyezett ruházatot és védőeszközöket. A higiéniai intézkedésekre vonatkozó további információért lásd a 8. pontot is.</w:t>
      </w:r>
    </w:p>
    <w:p>
      <w:pPr>
        <w:spacing w:before="2"/>
        <w:ind w:left="131" w:right="0" w:firstLine="0"/>
        <w:jc w:val="both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Tűz- és robbanásveszély elleni tanácsok.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Hőtől távol tartandó. Gyújtóforrástól távol tartandó.</w:t>
      </w:r>
    </w:p>
    <w:p>
      <w:pPr>
        <w:pStyle w:val="BodyText"/>
        <w:spacing w:before="9"/>
        <w:ind w:left="0"/>
        <w:rPr>
          <w:sz w:val="19"/>
        </w:rPr>
      </w:pPr>
    </w:p>
    <w:p>
      <w:pPr>
        <w:pStyle w:val="Heading1"/>
        <w:numPr>
          <w:ilvl w:val="1"/>
          <w:numId w:val="7"/>
        </w:numPr>
        <w:tabs>
          <w:tab w:pos="982" w:val="left" w:leader="none"/>
          <w:tab w:pos="983" w:val="left" w:leader="none"/>
        </w:tabs>
        <w:spacing w:line="240" w:lineRule="auto" w:before="1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A BIZTONSÁGOS TÁROLÁS FELTÉTELEI, AZ ESETLEGES ÖSSZEFÉRHETETLENSÉGGEL EGYÜTT</w:t>
      </w:r>
    </w:p>
    <w:p>
      <w:pPr>
        <w:pStyle w:val="BodyText"/>
        <w:spacing w:before="3"/>
        <w:ind w:right="120"/>
        <w:jc w:val="both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 tartályokat használaton kívül tartsa lezárva. Ne tárolja közvetlen napfényben. Tárolja környezeti hőmérsékleten és légköri nyomáson.</w:t>
      </w:r>
    </w:p>
    <w:p>
      <w:pPr>
        <w:pStyle w:val="BodyText"/>
        <w:spacing w:before="8"/>
        <w:ind w:left="0"/>
        <w:rPr>
          <w:sz w:val="19"/>
        </w:rPr>
      </w:pPr>
    </w:p>
    <w:p>
      <w:pPr>
        <w:pStyle w:val="Heading1"/>
        <w:numPr>
          <w:ilvl w:val="1"/>
          <w:numId w:val="7"/>
        </w:numPr>
        <w:tabs>
          <w:tab w:pos="982" w:val="left" w:leader="none"/>
          <w:tab w:pos="983" w:val="left" w:leader="none"/>
        </w:tabs>
        <w:spacing w:line="240" w:lineRule="auto" w:before="0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MEGHATÁROZOTT VÉGFELHASZNÁLÁS (VÉGFELHASZNÁLÁSOK)</w:t>
      </w:r>
    </w:p>
    <w:p>
      <w:pPr>
        <w:pStyle w:val="BodyText"/>
        <w:spacing w:before="3"/>
        <w:jc w:val="both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Kozmetikai használatra.</w:t>
      </w:r>
    </w:p>
    <w:p>
      <w:pPr>
        <w:pStyle w:val="BodyText"/>
        <w:ind w:left="0"/>
        <w:rPr>
          <w:sz w:val="24"/>
        </w:rPr>
      </w:pPr>
    </w:p>
    <w:p>
      <w:pPr>
        <w:spacing w:before="194"/>
        <w:ind w:left="131" w:right="0" w:firstLine="0"/>
        <w:jc w:val="both"/>
        <w:rPr>
          <w:b/>
          <w:sz w:val="20"/>
        </w:rPr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pict>
          <v:rect style="position:absolute;margin-left:56.1506pt;margin-top:22.584877pt;width:513.12pt;height:.48pt;mso-position-horizontal-relative:page;mso-position-vertical-relative:paragraph;z-index:-15725056;mso-wrap-distance-left:0;mso-wrap-distance-right:0" id="docshape11" filled="true" fillcolor="#000000" stroked="false">
            <v:fill type="solid"/>
            <w10:wrap type="topAndBottom"/>
          </v:rect>
        </w:pic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8. szakasz </w: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AZ EXPOZÍCIÓ ELLENŐRZÉSE/EGYÉNI VÉDELEM</w:t>
      </w:r>
    </w:p>
    <w:p>
      <w:pPr>
        <w:pStyle w:val="BodyText"/>
        <w:spacing w:before="7"/>
        <w:ind w:left="0"/>
        <w:rPr>
          <w:b/>
          <w:sz w:val="11"/>
        </w:rPr>
      </w:pPr>
    </w:p>
    <w:p>
      <w:pPr>
        <w:pStyle w:val="Heading1"/>
        <w:numPr>
          <w:ilvl w:val="1"/>
          <w:numId w:val="8"/>
        </w:numPr>
        <w:tabs>
          <w:tab w:pos="982" w:val="left" w:leader="none"/>
          <w:tab w:pos="983" w:val="left" w:leader="none"/>
        </w:tabs>
        <w:spacing w:line="240" w:lineRule="auto" w:before="101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KONTROL PARAMÉTEREK</w:t>
      </w:r>
    </w:p>
    <w:p>
      <w:pPr>
        <w:spacing w:line="241" w:lineRule="exact" w:before="4"/>
        <w:ind w:left="131" w:right="0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Foglalkozási expozíciós határértékek.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Az összetevő(k)re nincsenek megjelölve foglalkozási expozíciós határértékek.</w:t>
      </w:r>
    </w:p>
    <w:p>
      <w:pPr>
        <w:spacing w:line="241" w:lineRule="exact" w:before="0"/>
        <w:ind w:left="131" w:right="0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Biológiai határértékek.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Az alkotóelemeket illetően nincsenek meghatározott biológiai expozíciós határértékek.</w:t>
      </w:r>
    </w:p>
    <w:p>
      <w:pPr>
        <w:pStyle w:val="BodyText"/>
        <w:spacing w:before="2"/>
        <w:ind w:left="0"/>
      </w:pPr>
    </w:p>
    <w:p>
      <w:pPr>
        <w:spacing w:before="0"/>
        <w:ind w:left="131" w:right="0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Ajánlott ellenőrzési eljárások.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Kövesse a szabványos ellenőrzési eljárásokat.</w:t>
      </w:r>
    </w:p>
    <w:p>
      <w:pPr>
        <w:pStyle w:val="BodyText"/>
        <w:spacing w:before="9"/>
        <w:ind w:left="0"/>
        <w:rPr>
          <w:sz w:val="19"/>
        </w:rPr>
      </w:pPr>
    </w:p>
    <w:p>
      <w:pPr>
        <w:pStyle w:val="Heading1"/>
        <w:numPr>
          <w:ilvl w:val="1"/>
          <w:numId w:val="8"/>
        </w:numPr>
        <w:tabs>
          <w:tab w:pos="982" w:val="left" w:leader="none"/>
          <w:tab w:pos="983" w:val="left" w:leader="none"/>
        </w:tabs>
        <w:spacing w:line="240" w:lineRule="auto" w:before="0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AZ EXPOZÍCIÓ ELLENŐRZÉSE</w:t>
      </w:r>
    </w:p>
    <w:p>
      <w:pPr>
        <w:spacing w:before="3"/>
        <w:ind w:left="131" w:right="0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Általános információk: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 munkahelyen enni, inni, dohányozni tilos. Mosson kezet a szünetek előtt és a munkanap végén.</w:t>
      </w:r>
    </w:p>
    <w:p>
      <w:pPr>
        <w:spacing w:after="0"/>
        <w:jc w:val="left"/>
        <w:rPr>
          <w:sz w:val="20"/>
        </w:rPr>
        <w:sectPr>
          <w:pgSz w:w="11910" w:h="16840"/>
          <w:pgMar w:header="585" w:footer="0" w:top="2300" w:bottom="280" w:left="1020" w:right="420"/>
        </w:sectPr>
      </w:pPr>
    </w:p>
    <w:p>
      <w:pPr>
        <w:pStyle w:val="BodyText"/>
        <w:spacing w:before="11"/>
        <w:ind w:left="0"/>
        <w:rPr>
          <w:sz w:val="13"/>
        </w:rPr>
      </w:pPr>
    </w:p>
    <w:p>
      <w:pPr>
        <w:pStyle w:val="Heading1"/>
        <w:spacing w:before="102"/>
        <w:ind w:left="131" w:firstLine="0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MEGFELELŐ MŰSZAKI ÓVINTÉZKEDÉSEK</w:t>
      </w:r>
    </w:p>
    <w:p>
      <w:pPr>
        <w:pStyle w:val="BodyText"/>
        <w:spacing w:line="240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Gondoskodjon megfelelő általános és helyi légelszívó berendezésekről.</w:t>
      </w:r>
    </w:p>
    <w:p>
      <w:pPr>
        <w:pStyle w:val="Heading1"/>
        <w:ind w:left="131" w:firstLine="0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EGYÉNI ÓVINTÉZKEDÉSEK, ÚGY MINT AZ EGYÉNI VÉDŐESZKÖZÖK</w:t>
      </w:r>
    </w:p>
    <w:p>
      <w:pPr>
        <w:pStyle w:val="BodyText"/>
        <w:spacing w:before="3"/>
        <w:ind w:right="123"/>
        <w:jc w:val="both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Általános információ. 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Az előírt személyi védőfelszerelés használata kötelező. Tárolja elkülönítve a munkaruházatot. Az egyéni védőfelszerelést a CEN szabványoknak megfelelően és az egyéni védőeszköz szállítójával egyeztetve kell kiválasztani.</w:t>
      </w:r>
    </w:p>
    <w:p>
      <w:pPr>
        <w:spacing w:line="237" w:lineRule="exact" w:before="0"/>
        <w:ind w:left="131" w:right="0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Szem-/arcvédelem.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Viseljen az EN 166 szabvány által előírt védőszemüveget.</w:t>
      </w:r>
    </w:p>
    <w:p>
      <w:pPr>
        <w:spacing w:line="241" w:lineRule="exact" w:before="4"/>
        <w:ind w:left="131" w:right="0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Bőrvédelem.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Viseljen védőruházatot.</w:t>
      </w:r>
    </w:p>
    <w:p>
      <w:pPr>
        <w:spacing w:line="240" w:lineRule="exact" w:before="0"/>
        <w:ind w:left="131" w:right="0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Kéz védelme.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Viseljen védőkesztyűt (EN 374).</w:t>
      </w:r>
    </w:p>
    <w:p>
      <w:pPr>
        <w:pStyle w:val="BodyText"/>
        <w:ind w:right="126"/>
        <w:jc w:val="both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Légutak védelme. 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Az általános szellőzés általában megfelelő. Nem megfelelő szellőzés vagy a gőzök belélegzésének veszélye esetén megfelelő légzőkészüléket (légzőmaszk) kell használni. Kérjen tanácsot a helyi felügyelőtől (EN 149). </w:t>
      </w: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Hőveszélyek.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 Nem vonatkozik.</w:t>
      </w:r>
    </w:p>
    <w:p>
      <w:pPr>
        <w:pStyle w:val="BodyText"/>
        <w:ind w:right="122"/>
        <w:jc w:val="both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Higiéniai intézkedések. 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Kezelje az anyagot a megfelelő ipari higiéniai és biztonsági gyakorlatnak megfelelően. Szemmosókút és vészzuhany használata javasolt. A szennyezett ruhát újbóli használat előtt ki kell mosni.</w:t>
      </w:r>
    </w:p>
    <w:p>
      <w:pPr>
        <w:pStyle w:val="BodyText"/>
        <w:ind w:left="0"/>
      </w:pPr>
    </w:p>
    <w:p>
      <w:pPr>
        <w:pStyle w:val="Heading1"/>
        <w:numPr>
          <w:ilvl w:val="1"/>
          <w:numId w:val="8"/>
        </w:numPr>
        <w:tabs>
          <w:tab w:pos="982" w:val="left" w:leader="none"/>
          <w:tab w:pos="983" w:val="left" w:leader="none"/>
        </w:tabs>
        <w:spacing w:line="241" w:lineRule="exact" w:before="0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KÖRNYEZETVÉDELMET SZOLGÁLÓ SZABÁLYOZÁSOK</w:t>
      </w:r>
    </w:p>
    <w:p>
      <w:pPr>
        <w:pStyle w:val="BodyText"/>
        <w:spacing w:line="241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 kiömléseket meg kell akadályozni, és a kibocsátást meg kell akadályozni, és be kell tartani a nemzeti kibocsátási előírásokat.</w:t>
      </w:r>
    </w:p>
    <w:p>
      <w:pPr>
        <w:pStyle w:val="BodyText"/>
        <w:ind w:left="0"/>
        <w:rPr>
          <w:sz w:val="24"/>
        </w:rPr>
      </w:pPr>
    </w:p>
    <w:p>
      <w:pPr>
        <w:spacing w:before="194"/>
        <w:ind w:left="131" w:right="0" w:firstLine="0"/>
        <w:jc w:val="left"/>
        <w:rPr>
          <w:b/>
          <w:sz w:val="20"/>
        </w:rPr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pict>
          <v:rect style="position:absolute;margin-left:56.1506pt;margin-top:22.824869pt;width:513.12pt;height:.48pt;mso-position-horizontal-relative:page;mso-position-vertical-relative:paragraph;z-index:-15724544;mso-wrap-distance-left:0;mso-wrap-distance-right:0" id="docshape12" filled="true" fillcolor="#000000" stroked="false">
            <v:fill type="solid"/>
            <w10:wrap type="topAndBottom"/>
          </v:rect>
        </w:pic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9. szakasz </w: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FIZIKAI ÉS KÉMIAI TULAJDONSÁGOK</w:t>
      </w:r>
    </w:p>
    <w:p>
      <w:pPr>
        <w:pStyle w:val="BodyText"/>
        <w:spacing w:before="7"/>
        <w:ind w:left="0"/>
        <w:rPr>
          <w:b/>
          <w:sz w:val="11"/>
        </w:rPr>
      </w:pPr>
    </w:p>
    <w:p>
      <w:pPr>
        <w:pStyle w:val="Heading1"/>
        <w:numPr>
          <w:ilvl w:val="1"/>
          <w:numId w:val="9"/>
        </w:numPr>
        <w:tabs>
          <w:tab w:pos="982" w:val="left" w:leader="none"/>
          <w:tab w:pos="983" w:val="left" w:leader="none"/>
        </w:tabs>
        <w:spacing w:line="241" w:lineRule="exact" w:before="101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AZ ALAPVETŐ FIZIKAI ÉS KÉMIAI TULAJDONSÁGOKRA VONATKOZÓ INFORMÁCIÓ</w:t>
      </w:r>
    </w:p>
    <w:p>
      <w:pPr>
        <w:pStyle w:val="BodyText"/>
        <w:tabs>
          <w:tab w:pos="4019" w:val="left" w:leader="none"/>
        </w:tabs>
        <w:spacing w:line="241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FIZIKAI ÁLLAPOT: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Homogén folyékony szuszpenzió</w:t>
      </w:r>
    </w:p>
    <w:p>
      <w:pPr>
        <w:pStyle w:val="BodyText"/>
        <w:tabs>
          <w:tab w:pos="4019" w:val="left" w:leader="none"/>
        </w:tabs>
        <w:spacing w:line="241" w:lineRule="exact" w:before="4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SZÍN: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Nincs elérhető adat</w:t>
      </w:r>
    </w:p>
    <w:p>
      <w:pPr>
        <w:pStyle w:val="BodyText"/>
        <w:tabs>
          <w:tab w:pos="4019" w:val="left" w:leader="none"/>
        </w:tabs>
        <w:spacing w:line="240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SZAG: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Semleges</w:t>
      </w:r>
    </w:p>
    <w:p>
      <w:pPr>
        <w:pStyle w:val="BodyText"/>
        <w:tabs>
          <w:tab w:pos="4019" w:val="left" w:leader="none"/>
        </w:tabs>
        <w:spacing w:line="242" w:lineRule="auto"/>
        <w:ind w:right="4920"/>
        <w:jc w:val="both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OLVADÁSPONT/FAGYÁSPONT: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Nincs adat. FORRÁSPONT VAGY KEZDETI FORRÁS</w:t>
      </w:r>
    </w:p>
    <w:p>
      <w:pPr>
        <w:pStyle w:val="BodyText"/>
        <w:tabs>
          <w:tab w:pos="4019" w:val="left" w:leader="none"/>
        </w:tabs>
        <w:ind w:right="4920"/>
        <w:jc w:val="both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PONT ÉS FORRÁSI TARTOMÁNY: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Nincs adat GYÚLÉKONYSÁG (SZILÁRD, FOLYÉKONY, GÁZ): Nincs elérhető adat GYAKORLATI PONT: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Nincs adat ÖNGYÚJTÁSI HŐMÉRSÉKLET: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Nem állnak rendelkezésre adatok BOMLÁSI HŐMÉRSÉKLET: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Nincs adat pH: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5,0-7,0</w:t>
      </w:r>
    </w:p>
    <w:p>
      <w:pPr>
        <w:pStyle w:val="BodyText"/>
        <w:tabs>
          <w:tab w:pos="4638" w:val="right" w:leader="none"/>
        </w:tabs>
        <w:spacing w:line="241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VISZKOZITÁS: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70-200</w:t>
      </w:r>
    </w:p>
    <w:p>
      <w:pPr>
        <w:pStyle w:val="BodyText"/>
        <w:tabs>
          <w:tab w:pos="4019" w:val="left" w:leader="none"/>
        </w:tabs>
        <w:ind w:right="4289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OLDÉKONYSÁG: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Vízben részben oldható MEGOSZLÁSI HÁNYADOS</w:t>
      </w:r>
    </w:p>
    <w:p>
      <w:pPr>
        <w:pStyle w:val="BodyText"/>
        <w:tabs>
          <w:tab w:pos="4019" w:val="left" w:leader="none"/>
        </w:tabs>
        <w:spacing w:line="239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(N-OKTANOL/VÍZ):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Nincs elérhető adat</w:t>
      </w:r>
    </w:p>
    <w:p>
      <w:pPr>
        <w:pStyle w:val="BodyText"/>
        <w:tabs>
          <w:tab w:pos="4019" w:val="left" w:leader="none"/>
        </w:tabs>
        <w:ind w:right="4917"/>
        <w:rPr>
          <w:sz w:val="13"/>
        </w:rPr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GŐZNYOMÁS: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Nem áll rendelkezésre adat SŰRŰSÉG ÉS/VAGY RELATÍV SŰRŰSÉG: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1100-1500 g/cm</w:t>
      </w:r>
      <w:r>
        <w:rPr>
          <w:sz w:val="13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3</w:t>
      </w:r>
    </w:p>
    <w:p>
      <w:pPr>
        <w:pStyle w:val="BodyText"/>
        <w:tabs>
          <w:tab w:pos="4019" w:val="left" w:leader="none"/>
        </w:tabs>
        <w:spacing w:line="239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RELATÍV GŐZSŰRŰSÉG: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Nincs elérhető adat</w:t>
      </w:r>
    </w:p>
    <w:p>
      <w:pPr>
        <w:pStyle w:val="BodyText"/>
        <w:tabs>
          <w:tab w:pos="4019" w:val="left" w:leader="none"/>
        </w:tabs>
        <w:spacing w:line="241" w:lineRule="exact" w:before="4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ROBBANÁSVESZÉLYI TULAJDONSÁGOK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Nem robbanásveszélyes</w:t>
      </w:r>
    </w:p>
    <w:p>
      <w:pPr>
        <w:pStyle w:val="BodyText"/>
        <w:tabs>
          <w:tab w:pos="4019" w:val="left" w:leader="none"/>
        </w:tabs>
        <w:spacing w:line="240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OXIDÁLÓ TULAJDONSÁGOK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nem alkalmazható</w:t>
      </w:r>
    </w:p>
    <w:p>
      <w:pPr>
        <w:pStyle w:val="BodyText"/>
        <w:tabs>
          <w:tab w:pos="4019" w:val="left" w:leader="none"/>
        </w:tabs>
        <w:spacing w:line="241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 RÉSZÉK JELLEMZŐI: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Nem alkalmazható</w:t>
      </w:r>
    </w:p>
    <w:p>
      <w:pPr>
        <w:pStyle w:val="BodyText"/>
        <w:spacing w:before="1"/>
        <w:ind w:left="0"/>
      </w:pPr>
    </w:p>
    <w:p>
      <w:pPr>
        <w:pStyle w:val="Heading1"/>
        <w:numPr>
          <w:ilvl w:val="1"/>
          <w:numId w:val="9"/>
        </w:numPr>
        <w:tabs>
          <w:tab w:pos="982" w:val="left" w:leader="none"/>
          <w:tab w:pos="983" w:val="left" w:leader="none"/>
        </w:tabs>
        <w:spacing w:line="241" w:lineRule="exact" w:before="1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EGYÉB INFORMÁCIÓ</w:t>
      </w:r>
    </w:p>
    <w:p>
      <w:pPr>
        <w:pStyle w:val="ListParagraph"/>
        <w:numPr>
          <w:ilvl w:val="2"/>
          <w:numId w:val="9"/>
        </w:numPr>
        <w:tabs>
          <w:tab w:pos="760" w:val="left" w:leader="none"/>
        </w:tabs>
        <w:spacing w:line="240" w:lineRule="exact" w:before="0" w:after="0"/>
        <w:ind w:left="759" w:right="0" w:hanging="629"/>
        <w:jc w:val="left"/>
        <w:rPr>
          <w:b/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A fizikai veszélyességi osztályokra vonatkozó információk</w:t>
      </w:r>
    </w:p>
    <w:p>
      <w:pPr>
        <w:pStyle w:val="BodyText"/>
        <w:spacing w:line="241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Nincs.</w:t>
      </w:r>
    </w:p>
    <w:p>
      <w:pPr>
        <w:pStyle w:val="ListParagraph"/>
        <w:numPr>
          <w:ilvl w:val="2"/>
          <w:numId w:val="9"/>
        </w:numPr>
        <w:tabs>
          <w:tab w:pos="760" w:val="left" w:leader="none"/>
        </w:tabs>
        <w:spacing w:line="241" w:lineRule="exact" w:before="3" w:after="0"/>
        <w:ind w:left="759" w:right="0" w:hanging="629"/>
        <w:jc w:val="left"/>
        <w:rPr>
          <w:b/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Egyéb biztonsági jellemzők</w:t>
      </w:r>
    </w:p>
    <w:p>
      <w:pPr>
        <w:pStyle w:val="BodyText"/>
        <w:spacing w:line="241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Nem áll rendelkezésre további információ.</w:t>
      </w:r>
    </w:p>
    <w:p>
      <w:pPr>
        <w:pStyle w:val="BodyText"/>
        <w:ind w:left="0"/>
        <w:rPr>
          <w:sz w:val="24"/>
        </w:rPr>
      </w:pPr>
    </w:p>
    <w:p>
      <w:pPr>
        <w:spacing w:before="194"/>
        <w:ind w:left="131" w:right="0" w:firstLine="0"/>
        <w:jc w:val="left"/>
        <w:rPr>
          <w:b/>
          <w:sz w:val="20"/>
        </w:rPr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pict>
          <v:rect style="position:absolute;margin-left:56.1506pt;margin-top:22.58489pt;width:513.12pt;height:.48pt;mso-position-horizontal-relative:page;mso-position-vertical-relative:paragraph;z-index:-15724032;mso-wrap-distance-left:0;mso-wrap-distance-right:0" id="docshape13" filled="true" fillcolor="#000000" stroked="false">
            <v:fill type="solid"/>
            <w10:wrap type="topAndBottom"/>
          </v:rect>
        </w:pic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10. szakasz </w: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STABILITÁS ÉS REAKCIÓKÉSZSÉG</w:t>
      </w:r>
    </w:p>
    <w:p>
      <w:pPr>
        <w:pStyle w:val="BodyText"/>
        <w:spacing w:before="11"/>
        <w:ind w:left="0"/>
        <w:rPr>
          <w:b/>
          <w:sz w:val="11"/>
        </w:rPr>
      </w:pPr>
    </w:p>
    <w:p>
      <w:pPr>
        <w:pStyle w:val="Heading1"/>
        <w:numPr>
          <w:ilvl w:val="1"/>
          <w:numId w:val="10"/>
        </w:numPr>
        <w:tabs>
          <w:tab w:pos="982" w:val="left" w:leader="none"/>
          <w:tab w:pos="983" w:val="left" w:leader="none"/>
        </w:tabs>
        <w:spacing w:line="241" w:lineRule="exact" w:before="102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REAKCIÓKÉSZSÉG</w:t>
      </w:r>
    </w:p>
    <w:p>
      <w:pPr>
        <w:pStyle w:val="BodyText"/>
        <w:spacing w:line="241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 termék normál használati, tárolási és szállítási körülmények között nem reaktív.</w:t>
      </w:r>
    </w:p>
    <w:p>
      <w:pPr>
        <w:spacing w:after="0" w:line="241" w:lineRule="exact"/>
        <w:sectPr>
          <w:pgSz w:w="11910" w:h="16840"/>
          <w:pgMar w:header="585" w:footer="0" w:top="2300" w:bottom="280" w:left="1020" w:right="420"/>
        </w:sectPr>
      </w:pPr>
    </w:p>
    <w:p>
      <w:pPr>
        <w:pStyle w:val="BodyText"/>
        <w:spacing w:before="11"/>
        <w:ind w:left="0"/>
        <w:rPr>
          <w:sz w:val="13"/>
        </w:rPr>
      </w:pPr>
    </w:p>
    <w:p>
      <w:pPr>
        <w:pStyle w:val="Heading1"/>
        <w:numPr>
          <w:ilvl w:val="1"/>
          <w:numId w:val="10"/>
        </w:numPr>
        <w:tabs>
          <w:tab w:pos="982" w:val="left" w:leader="none"/>
          <w:tab w:pos="983" w:val="left" w:leader="none"/>
        </w:tabs>
        <w:spacing w:line="241" w:lineRule="exact" w:before="102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KÉMIAI STABILITÁS</w:t>
      </w:r>
    </w:p>
    <w:p>
      <w:pPr>
        <w:pStyle w:val="BodyText"/>
        <w:spacing w:line="241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Normál körülmények között stabil.</w:t>
      </w:r>
    </w:p>
    <w:p>
      <w:pPr>
        <w:pStyle w:val="BodyText"/>
        <w:spacing w:before="2"/>
        <w:ind w:left="0"/>
      </w:pPr>
    </w:p>
    <w:p>
      <w:pPr>
        <w:pStyle w:val="Heading1"/>
        <w:numPr>
          <w:ilvl w:val="1"/>
          <w:numId w:val="10"/>
        </w:numPr>
        <w:tabs>
          <w:tab w:pos="982" w:val="left" w:leader="none"/>
          <w:tab w:pos="983" w:val="left" w:leader="none"/>
        </w:tabs>
        <w:spacing w:line="241" w:lineRule="exact" w:before="0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A VESZÉLYES REAKCIÓK LEHETŐSÉGE</w:t>
      </w:r>
    </w:p>
    <w:p>
      <w:pPr>
        <w:pStyle w:val="BodyText"/>
        <w:spacing w:line="241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Nem áll rendelkezésre további információ.</w:t>
      </w:r>
    </w:p>
    <w:p>
      <w:pPr>
        <w:pStyle w:val="BodyText"/>
        <w:spacing w:before="9"/>
        <w:ind w:left="0"/>
        <w:rPr>
          <w:sz w:val="19"/>
        </w:rPr>
      </w:pPr>
    </w:p>
    <w:p>
      <w:pPr>
        <w:pStyle w:val="Heading1"/>
        <w:numPr>
          <w:ilvl w:val="1"/>
          <w:numId w:val="10"/>
        </w:numPr>
        <w:tabs>
          <w:tab w:pos="982" w:val="left" w:leader="none"/>
          <w:tab w:pos="983" w:val="left" w:leader="none"/>
        </w:tabs>
        <w:spacing w:line="240" w:lineRule="auto" w:before="0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KERÜLENDŐ KÖRÜLMÉNYEK</w:t>
      </w:r>
    </w:p>
    <w:p>
      <w:pPr>
        <w:pStyle w:val="BodyText"/>
        <w:spacing w:before="4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Magas hőmérséklet és gyújtóforrások.</w:t>
      </w:r>
    </w:p>
    <w:p>
      <w:pPr>
        <w:pStyle w:val="BodyText"/>
        <w:spacing w:before="9"/>
        <w:ind w:left="0"/>
        <w:rPr>
          <w:sz w:val="19"/>
        </w:rPr>
      </w:pPr>
    </w:p>
    <w:p>
      <w:pPr>
        <w:pStyle w:val="Heading1"/>
        <w:numPr>
          <w:ilvl w:val="1"/>
          <w:numId w:val="10"/>
        </w:numPr>
        <w:tabs>
          <w:tab w:pos="982" w:val="left" w:leader="none"/>
          <w:tab w:pos="983" w:val="left" w:leader="none"/>
        </w:tabs>
        <w:spacing w:line="240" w:lineRule="auto" w:before="0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NEM ÖSSZEFÉRHETŐ ANYAGOK</w:t>
      </w:r>
    </w:p>
    <w:p>
      <w:pPr>
        <w:pStyle w:val="BodyText"/>
        <w:spacing w:before="3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Nem áll rendelkezésre adat.</w:t>
      </w:r>
    </w:p>
    <w:p>
      <w:pPr>
        <w:pStyle w:val="BodyText"/>
        <w:spacing w:before="9"/>
        <w:ind w:left="0"/>
        <w:rPr>
          <w:sz w:val="19"/>
        </w:rPr>
      </w:pPr>
    </w:p>
    <w:p>
      <w:pPr>
        <w:pStyle w:val="Heading1"/>
        <w:numPr>
          <w:ilvl w:val="1"/>
          <w:numId w:val="10"/>
        </w:numPr>
        <w:tabs>
          <w:tab w:pos="982" w:val="left" w:leader="none"/>
          <w:tab w:pos="983" w:val="left" w:leader="none"/>
        </w:tabs>
        <w:spacing w:line="241" w:lineRule="exact" w:before="1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VESZÉLYES BOMLÁSTERMÉKEK</w:t>
      </w:r>
    </w:p>
    <w:p>
      <w:pPr>
        <w:pStyle w:val="BodyText"/>
        <w:spacing w:line="241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Veszélyes füstöket képezhet, mint például szén-monoxid, szén-dioxid stb.</w:t>
      </w:r>
    </w:p>
    <w:p>
      <w:pPr>
        <w:pStyle w:val="BodyText"/>
        <w:ind w:left="0"/>
        <w:rPr>
          <w:sz w:val="24"/>
        </w:rPr>
      </w:pPr>
    </w:p>
    <w:p>
      <w:pPr>
        <w:spacing w:before="193"/>
        <w:ind w:left="131" w:right="0" w:firstLine="0"/>
        <w:jc w:val="left"/>
        <w:rPr>
          <w:b/>
          <w:sz w:val="20"/>
        </w:rPr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pict>
          <v:rect style="position:absolute;margin-left:56.1506pt;margin-top:22.774891pt;width:513.12pt;height:.48pt;mso-position-horizontal-relative:page;mso-position-vertical-relative:paragraph;z-index:-15723520;mso-wrap-distance-left:0;mso-wrap-distance-right:0" id="docshape14" filled="true" fillcolor="#000000" stroked="false">
            <v:fill type="solid"/>
            <w10:wrap type="topAndBottom"/>
          </v:rect>
        </w:pic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11. szakasz </w: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TOXIKOLÓGIAI INFORMÁCIÓ</w:t>
      </w:r>
    </w:p>
    <w:p>
      <w:pPr>
        <w:pStyle w:val="BodyText"/>
        <w:spacing w:before="7"/>
        <w:ind w:left="0"/>
        <w:rPr>
          <w:b/>
          <w:sz w:val="11"/>
        </w:rPr>
      </w:pPr>
    </w:p>
    <w:p>
      <w:pPr>
        <w:pStyle w:val="ListParagraph"/>
        <w:numPr>
          <w:ilvl w:val="1"/>
          <w:numId w:val="11"/>
        </w:numPr>
        <w:tabs>
          <w:tab w:pos="982" w:val="left" w:leader="none"/>
          <w:tab w:pos="983" w:val="left" w:leader="none"/>
        </w:tabs>
        <w:spacing w:line="241" w:lineRule="exact" w:before="101" w:after="0"/>
        <w:ind w:left="982" w:right="0" w:hanging="852"/>
        <w:jc w:val="left"/>
        <w:rPr>
          <w:b/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Az 1272/2008/EK rendeletben meghatározott veszélyességi osztályokra vonatkozó információk</w:t>
      </w:r>
    </w:p>
    <w:p>
      <w:pPr>
        <w:spacing w:line="241" w:lineRule="exact" w:before="0"/>
        <w:ind w:left="131" w:right="0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Akut toxicitás: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 termékre vonatkozó adatok nem állnak rendelkezésre.</w:t>
      </w:r>
    </w:p>
    <w:p>
      <w:pPr>
        <w:pStyle w:val="BodyText"/>
        <w:spacing w:before="2"/>
        <w:ind w:left="0"/>
      </w:pPr>
    </w:p>
    <w:p>
      <w:pPr>
        <w:spacing w:line="241" w:lineRule="exact" w:before="0"/>
        <w:ind w:left="131" w:right="0" w:firstLine="0"/>
        <w:jc w:val="left"/>
        <w:rPr>
          <w:b/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Összetevőkkel kapcsolatos adatok:</w:t>
      </w:r>
    </w:p>
    <w:p>
      <w:pPr>
        <w:pStyle w:val="BodyText"/>
        <w:spacing w:line="241" w:lineRule="exact"/>
        <w:bidi w:val="0"/>
      </w:pPr>
      <w:r>
        <w:rPr>
          <w:lang w:val="hu"/>
          <w:b w:val="0"/>
          <w:bCs w:val="0"/>
          <w:i w:val="0"/>
          <w:iCs w:val="0"/>
          <w:u w:val="single"/>
          <w:vertAlign w:val="baseline"/>
          <w:rtl w:val="0"/>
        </w:rPr>
        <w:t xml:space="preserve">Glicerin, CAS-szám: 106-50-3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:</w:t>
      </w:r>
    </w:p>
    <w:p>
      <w:pPr>
        <w:pStyle w:val="BodyText"/>
        <w:spacing w:line="241" w:lineRule="exact" w:before="4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Akut orális toxicitás: LD50 – 27200 mg/kg (patkány);</w:t>
      </w:r>
    </w:p>
    <w:p>
      <w:pPr>
        <w:pStyle w:val="BodyText"/>
        <w:ind w:right="4331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Akut belégzési toxicitás: LC50 – 5850 mg/l/4 óra (aeroszol) (patkány); Akut dermális toxicitás: LD50 – 45 ml/kg/24h (tengerimalac).</w:t>
      </w:r>
    </w:p>
    <w:p>
      <w:pPr>
        <w:pStyle w:val="BodyText"/>
        <w:spacing w:before="12"/>
        <w:ind w:left="0"/>
        <w:rPr>
          <w:sz w:val="19"/>
        </w:rPr>
      </w:pPr>
    </w:p>
    <w:p>
      <w:pPr>
        <w:pStyle w:val="BodyText"/>
        <w:spacing w:line="241" w:lineRule="exact"/>
        <w:bidi w:val="0"/>
      </w:pPr>
      <w:r>
        <w:rPr>
          <w:lang w:val="hu"/>
          <w:b w:val="0"/>
          <w:bCs w:val="0"/>
          <w:i w:val="0"/>
          <w:iCs w:val="0"/>
          <w:u w:val="single"/>
          <w:vertAlign w:val="baseline"/>
          <w:rtl w:val="0"/>
        </w:rPr>
        <w:t xml:space="preserve">Vas-hidroxid oxid-sárga, CAS sz.) 51274-00-1:</w:t>
      </w:r>
    </w:p>
    <w:p>
      <w:pPr>
        <w:pStyle w:val="BodyText"/>
        <w:spacing w:line="240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Akut orális toxicitás: LD50 – &gt;10000 mg/kg (patkány);</w:t>
      </w:r>
    </w:p>
    <w:p>
      <w:pPr>
        <w:pStyle w:val="BodyText"/>
        <w:spacing w:line="241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Akut belégzési toxicitás: LC50 – 5,05 mg/l/4h (aeroszol) (patkány).</w:t>
      </w:r>
    </w:p>
    <w:p>
      <w:pPr>
        <w:pStyle w:val="BodyText"/>
        <w:spacing w:before="2"/>
        <w:ind w:left="0"/>
      </w:pPr>
    </w:p>
    <w:p>
      <w:pPr>
        <w:pStyle w:val="BodyText"/>
        <w:ind w:right="399"/>
        <w:bidi w:val="0"/>
      </w:pPr>
      <w:r>
        <w:rPr>
          <w:lang w:val="hu"/>
          <w:b w:val="0"/>
          <w:bCs w:val="0"/>
          <w:i w:val="0"/>
          <w:iCs w:val="0"/>
          <w:u w:val="single"/>
          <w:vertAlign w:val="baseline"/>
          <w:rtl w:val="0"/>
        </w:rPr>
        <w:t xml:space="preserve">Trinátrium-5-hidroxi-1-(4-szulfofenil)-4-(4-szulfofenilazo)pirazol-3-karboxilát, CAS-szám 1934-21-0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 : Akut orális toxicitás: LD50 – &gt;1000 mg/kg (egér).</w:t>
      </w:r>
    </w:p>
    <w:p>
      <w:pPr>
        <w:pStyle w:val="BodyText"/>
        <w:ind w:left="0"/>
      </w:pPr>
    </w:p>
    <w:p>
      <w:pPr>
        <w:pStyle w:val="BodyText"/>
        <w:spacing w:line="241" w:lineRule="exact"/>
        <w:bidi w:val="0"/>
      </w:pPr>
      <w:r>
        <w:rPr>
          <w:lang w:val="hu"/>
          <w:b w:val="0"/>
          <w:bCs w:val="0"/>
          <w:i w:val="0"/>
          <w:iCs w:val="0"/>
          <w:u w:val="single"/>
          <w:vertAlign w:val="baseline"/>
          <w:rtl w:val="0"/>
        </w:rPr>
        <w:t xml:space="preserve">Vas(III)-oxid, CAS-szám: 1309-37-1:</w:t>
      </w:r>
    </w:p>
    <w:p>
      <w:pPr>
        <w:pStyle w:val="BodyText"/>
        <w:spacing w:line="240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Akut orális toxicitás: LD50 – &gt;10000 mg/kg (patkány);</w:t>
      </w:r>
    </w:p>
    <w:p>
      <w:pPr>
        <w:pStyle w:val="BodyText"/>
        <w:spacing w:line="241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Akut belégzési toxicitás: LC50 – 5,05 mg/l/4h (aeroszol) (patkány).</w:t>
      </w:r>
    </w:p>
    <w:p>
      <w:pPr>
        <w:pStyle w:val="BodyText"/>
        <w:spacing w:before="2"/>
        <w:ind w:left="0"/>
      </w:pPr>
    </w:p>
    <w:p>
      <w:pPr>
        <w:pStyle w:val="BodyText"/>
        <w:spacing w:line="241" w:lineRule="exact"/>
        <w:bidi w:val="0"/>
      </w:pPr>
      <w:r>
        <w:rPr>
          <w:lang w:val="hu"/>
          <w:b w:val="0"/>
          <w:bCs w:val="0"/>
          <w:i w:val="0"/>
          <w:iCs w:val="0"/>
          <w:u w:val="single"/>
          <w:vertAlign w:val="baseline"/>
          <w:rtl w:val="0"/>
        </w:rPr>
        <w:t xml:space="preserve">Króm(III)-oxid, CAS-szám 1308-38-9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 :</w:t>
      </w:r>
    </w:p>
    <w:p>
      <w:pPr>
        <w:pStyle w:val="BodyText"/>
        <w:spacing w:line="241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Akut orális toxicitás: LD50 – &gt;5000 mg/kg (patkány);</w:t>
      </w:r>
    </w:p>
    <w:p>
      <w:pPr>
        <w:pStyle w:val="BodyText"/>
        <w:spacing w:before="4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Akut belégzési toxicitás: LC50 – &gt;5,41 mg/l/4h (aeroszol) (patkány).</w:t>
      </w:r>
    </w:p>
    <w:p>
      <w:pPr>
        <w:pStyle w:val="BodyText"/>
        <w:spacing w:before="9"/>
        <w:ind w:left="0"/>
        <w:rPr>
          <w:sz w:val="19"/>
        </w:rPr>
      </w:pPr>
    </w:p>
    <w:p>
      <w:pPr>
        <w:spacing w:before="0"/>
        <w:ind w:left="131" w:right="0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Bőrkorrózió/bőrirritáció.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Nem minősített.</w:t>
      </w:r>
    </w:p>
    <w:p>
      <w:pPr>
        <w:spacing w:line="241" w:lineRule="exact" w:before="3"/>
        <w:ind w:left="131" w:right="0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Súlyos szemsérülés/szemirritáció.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Nem minősített.</w:t>
      </w:r>
    </w:p>
    <w:p>
      <w:pPr>
        <w:spacing w:line="240" w:lineRule="exact" w:before="0"/>
        <w:ind w:left="131" w:right="0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Légzőszervi vagy bőrszenzibilizáció.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Nem minősített.</w:t>
      </w:r>
    </w:p>
    <w:p>
      <w:pPr>
        <w:spacing w:line="240" w:lineRule="exact" w:before="0"/>
        <w:ind w:left="131" w:right="0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Csírasejt-mutagenitás.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Nem minősített.</w:t>
      </w:r>
    </w:p>
    <w:p>
      <w:pPr>
        <w:spacing w:line="240" w:lineRule="auto" w:before="0"/>
        <w:ind w:left="131" w:right="6334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Rákkeltő hatás.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Nem minősített. </w: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Reproduciós toxicitás.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Nem minősített. </w: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STOT – egyszeri expozíció.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Nem minősített. </w: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STOT – ismétlődő expozíció.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Nem minősített. </w: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Aspirációs veszély.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Nem minősített.</w:t>
      </w:r>
    </w:p>
    <w:p>
      <w:pPr>
        <w:pStyle w:val="BodyText"/>
        <w:spacing w:before="1"/>
        <w:ind w:left="0"/>
      </w:pPr>
    </w:p>
    <w:p>
      <w:pPr>
        <w:pStyle w:val="Heading1"/>
        <w:numPr>
          <w:ilvl w:val="1"/>
          <w:numId w:val="11"/>
        </w:numPr>
        <w:tabs>
          <w:tab w:pos="982" w:val="left" w:leader="none"/>
          <w:tab w:pos="983" w:val="left" w:leader="none"/>
        </w:tabs>
        <w:spacing w:line="241" w:lineRule="exact" w:before="0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EGYÉB VESZÉLYEKRE VONATKOZÓ INFORMÁCIÓ</w:t>
      </w:r>
    </w:p>
    <w:p>
      <w:pPr>
        <w:pStyle w:val="ListParagraph"/>
        <w:numPr>
          <w:ilvl w:val="2"/>
          <w:numId w:val="11"/>
        </w:numPr>
        <w:tabs>
          <w:tab w:pos="887" w:val="left" w:leader="none"/>
        </w:tabs>
        <w:spacing w:line="241" w:lineRule="exact" w:before="0" w:after="0"/>
        <w:ind w:left="887" w:right="0" w:hanging="756"/>
        <w:jc w:val="left"/>
        <w:rPr>
          <w:b/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Endokrinkárosító tulajdonságok</w:t>
      </w:r>
    </w:p>
    <w:p>
      <w:pPr>
        <w:pStyle w:val="BodyText"/>
        <w:spacing w:line="241" w:lineRule="exact" w:before="3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Nincs.</w:t>
      </w:r>
    </w:p>
    <w:p>
      <w:pPr>
        <w:pStyle w:val="ListParagraph"/>
        <w:numPr>
          <w:ilvl w:val="2"/>
          <w:numId w:val="11"/>
        </w:numPr>
        <w:tabs>
          <w:tab w:pos="887" w:val="left" w:leader="none"/>
        </w:tabs>
        <w:spacing w:line="241" w:lineRule="exact" w:before="0" w:after="0"/>
        <w:ind w:left="887" w:right="0" w:hanging="756"/>
        <w:jc w:val="left"/>
        <w:rPr>
          <w:b/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Egyéb információk</w:t>
      </w:r>
    </w:p>
    <w:p>
      <w:pPr>
        <w:spacing w:after="0" w:line="241" w:lineRule="exact"/>
        <w:jc w:val="left"/>
        <w:rPr>
          <w:sz w:val="20"/>
        </w:rPr>
        <w:sectPr>
          <w:pgSz w:w="11910" w:h="16840"/>
          <w:pgMar w:header="585" w:footer="0" w:top="2300" w:bottom="280" w:left="1020" w:right="420"/>
        </w:sectPr>
      </w:pPr>
    </w:p>
    <w:p>
      <w:pPr>
        <w:pStyle w:val="BodyText"/>
        <w:spacing w:before="11"/>
        <w:ind w:left="0"/>
        <w:rPr>
          <w:b/>
          <w:sz w:val="13"/>
        </w:rPr>
      </w:pPr>
    </w:p>
    <w:p>
      <w:pPr>
        <w:pStyle w:val="BodyText"/>
        <w:spacing w:before="102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Nem áll rendelkezésre adat.</w:t>
      </w:r>
    </w:p>
    <w:p>
      <w:pPr>
        <w:pStyle w:val="BodyText"/>
        <w:ind w:left="0"/>
        <w:rPr>
          <w:sz w:val="24"/>
        </w:rPr>
      </w:pPr>
    </w:p>
    <w:p>
      <w:pPr>
        <w:spacing w:before="194"/>
        <w:ind w:left="131" w:right="0" w:firstLine="0"/>
        <w:jc w:val="left"/>
        <w:rPr>
          <w:b/>
          <w:sz w:val="20"/>
        </w:rPr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pict>
          <v:rect style="position:absolute;margin-left:56.1506pt;margin-top:22.584892pt;width:513.12pt;height:.48pt;mso-position-horizontal-relative:page;mso-position-vertical-relative:paragraph;z-index:-15723008;mso-wrap-distance-left:0;mso-wrap-distance-right:0" id="docshape15" filled="true" fillcolor="#000000" stroked="false">
            <v:fill type="solid"/>
            <w10:wrap type="topAndBottom"/>
          </v:rect>
        </w:pic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12. szakasz </w: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 ÖKOLÓGIAI INFORMÁCIÓK</w:t>
      </w:r>
    </w:p>
    <w:p>
      <w:pPr>
        <w:pStyle w:val="BodyText"/>
        <w:spacing w:before="7"/>
        <w:ind w:left="0"/>
        <w:rPr>
          <w:b/>
          <w:sz w:val="11"/>
        </w:rPr>
      </w:pPr>
    </w:p>
    <w:p>
      <w:pPr>
        <w:pStyle w:val="Heading1"/>
        <w:numPr>
          <w:ilvl w:val="1"/>
          <w:numId w:val="12"/>
        </w:numPr>
        <w:tabs>
          <w:tab w:pos="982" w:val="left" w:leader="none"/>
          <w:tab w:pos="983" w:val="left" w:leader="none"/>
        </w:tabs>
        <w:spacing w:line="240" w:lineRule="auto" w:before="101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TOXICITÁS</w:t>
      </w:r>
    </w:p>
    <w:p>
      <w:pPr>
        <w:pStyle w:val="BodyText"/>
        <w:spacing w:before="4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 termékre vonatkozó adatok nem állnak rendelkezésre.</w:t>
      </w:r>
    </w:p>
    <w:p>
      <w:pPr>
        <w:pStyle w:val="BodyText"/>
        <w:spacing w:before="9"/>
        <w:ind w:left="0"/>
        <w:rPr>
          <w:sz w:val="19"/>
        </w:rPr>
      </w:pPr>
    </w:p>
    <w:p>
      <w:pPr>
        <w:spacing w:before="0"/>
        <w:ind w:left="131" w:right="0" w:firstLine="0"/>
        <w:jc w:val="left"/>
        <w:rPr>
          <w:b/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Összetevőkkel kapcsolatos adatok:</w:t>
      </w:r>
    </w:p>
    <w:p>
      <w:pPr>
        <w:pStyle w:val="BodyText"/>
        <w:spacing w:line="241" w:lineRule="exact" w:before="3"/>
        <w:bidi w:val="0"/>
      </w:pPr>
      <w:r>
        <w:rPr>
          <w:lang w:val="hu"/>
          <w:b w:val="0"/>
          <w:bCs w:val="0"/>
          <w:i w:val="0"/>
          <w:iCs w:val="0"/>
          <w:u w:val="single"/>
          <w:vertAlign w:val="baseline"/>
          <w:rtl w:val="0"/>
        </w:rPr>
        <w:t xml:space="preserve">Glicerin, CAS-szám: 106-50-3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:</w:t>
      </w:r>
    </w:p>
    <w:p>
      <w:pPr>
        <w:pStyle w:val="BodyText"/>
        <w:spacing w:line="240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LC50 édesvízi halakhoz: 885 mg/l/96 óra (Salmo gairdneri);</w:t>
      </w:r>
    </w:p>
    <w:p>
      <w:pPr>
        <w:pStyle w:val="BodyText"/>
        <w:ind w:right="4289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LC50 tengeri halakhoz: 885 mg/l/96h (Cyprinodon variegatus); NOEC: 9471,097 mg/l/30 nap;</w:t>
      </w:r>
    </w:p>
    <w:p>
      <w:pPr>
        <w:pStyle w:val="BodyText"/>
        <w:spacing w:before="2"/>
        <w:ind w:right="3817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EC50 édesvízi gerinctelenekre: 1955 mg/l/48 óra (Daphnia magna); Édesvízi algák EC50: 2900 mg/l/8d (Scenedesmus quadricauda).</w:t>
      </w:r>
    </w:p>
    <w:p>
      <w:pPr>
        <w:pStyle w:val="BodyText"/>
        <w:ind w:left="0"/>
      </w:pPr>
    </w:p>
    <w:p>
      <w:pPr>
        <w:pStyle w:val="BodyText"/>
        <w:spacing w:line="241" w:lineRule="exact"/>
        <w:bidi w:val="0"/>
      </w:pPr>
      <w:r>
        <w:rPr>
          <w:lang w:val="hu"/>
          <w:b w:val="0"/>
          <w:bCs w:val="0"/>
          <w:i w:val="0"/>
          <w:iCs w:val="0"/>
          <w:u w:val="single"/>
          <w:vertAlign w:val="baseline"/>
          <w:rtl w:val="0"/>
        </w:rPr>
        <w:t xml:space="preserve">Vas-hidroxid oxid-sárga, CAS sz.) 51274-00-1:</w:t>
      </w:r>
    </w:p>
    <w:p>
      <w:pPr>
        <w:pStyle w:val="BodyText"/>
        <w:spacing w:line="240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LC50 édesvízi halak esetében: ≥100000 mg/l/96h (Danio rerio);</w:t>
      </w:r>
    </w:p>
    <w:p>
      <w:pPr>
        <w:pStyle w:val="BodyText"/>
        <w:ind w:right="3817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EC50 édesvízi gerincteleneknél: ≥100 mg/l/48h (Daphnia magna); NOEC: ≥20 mg/l/21 nap (Daphnia magna);</w:t>
      </w:r>
    </w:p>
    <w:p>
      <w:pPr>
        <w:pStyle w:val="BodyText"/>
        <w:spacing w:before="2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Édesvízi algák EC50 értéke: ≥20 mg/l/72h (Pseudokirchneriella subcapitata).</w:t>
      </w:r>
    </w:p>
    <w:p>
      <w:pPr>
        <w:pStyle w:val="BodyText"/>
        <w:spacing w:before="9"/>
        <w:ind w:left="0"/>
        <w:rPr>
          <w:sz w:val="19"/>
        </w:rPr>
      </w:pPr>
    </w:p>
    <w:p>
      <w:pPr>
        <w:pStyle w:val="BodyText"/>
        <w:bidi w:val="0"/>
      </w:pPr>
      <w:r>
        <w:rPr>
          <w:lang w:val="hu"/>
          <w:b w:val="0"/>
          <w:bCs w:val="0"/>
          <w:i w:val="0"/>
          <w:iCs w:val="0"/>
          <w:u w:val="single"/>
          <w:vertAlign w:val="baseline"/>
          <w:rtl w:val="0"/>
        </w:rPr>
        <w:t xml:space="preserve">Vas(III)-oxid, CAS-szám: 1309-37-1:</w:t>
      </w:r>
    </w:p>
    <w:p>
      <w:pPr>
        <w:pStyle w:val="BodyText"/>
        <w:spacing w:line="241" w:lineRule="exact" w:before="3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LC50 édesvízi halak esetében: ≥50000 mg/l/96h (Danio rerio);</w:t>
      </w:r>
    </w:p>
    <w:p>
      <w:pPr>
        <w:pStyle w:val="BodyText"/>
        <w:ind w:right="3817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EC50 édesvízi gerincteleneknél: &gt;100 mg/l/48h (Daphnia magna); NOEC: ≥20 mg/l/21 nap (Daphnia magna);</w:t>
      </w:r>
    </w:p>
    <w:p>
      <w:pPr>
        <w:pStyle w:val="BodyText"/>
        <w:spacing w:before="2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Édesvízi algák EC50 értéke: &gt;20 mg/l/72h (Pseudokirchneriella subcapitata).</w:t>
      </w:r>
    </w:p>
    <w:p>
      <w:pPr>
        <w:pStyle w:val="BodyText"/>
        <w:spacing w:before="9"/>
        <w:ind w:left="0"/>
        <w:rPr>
          <w:sz w:val="19"/>
        </w:rPr>
      </w:pPr>
    </w:p>
    <w:p>
      <w:pPr>
        <w:pStyle w:val="BodyText"/>
        <w:spacing w:line="241" w:lineRule="exact"/>
        <w:bidi w:val="0"/>
      </w:pPr>
      <w:r>
        <w:rPr>
          <w:lang w:val="hu"/>
          <w:b w:val="0"/>
          <w:bCs w:val="0"/>
          <w:i w:val="0"/>
          <w:iCs w:val="0"/>
          <w:u w:val="single"/>
          <w:vertAlign w:val="baseline"/>
          <w:rtl w:val="0"/>
        </w:rPr>
        <w:t xml:space="preserve">Króm(III)-oxid, CAS-szám 1308-38-9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 :</w:t>
      </w:r>
    </w:p>
    <w:p>
      <w:pPr>
        <w:pStyle w:val="BodyText"/>
        <w:ind w:right="5214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LC50 édesvízi halak esetében: &gt;10000 mg/l/96h (Danio rerio); EC50 édesvízi gerinctelenekre: 3,71 mg Cr/l/48 óra; EC50 édesvízi algákra: 9,9 mg Cr/l/72 óra.</w:t>
      </w:r>
    </w:p>
    <w:p>
      <w:pPr>
        <w:pStyle w:val="BodyText"/>
        <w:spacing w:before="3"/>
        <w:ind w:left="0"/>
      </w:pPr>
    </w:p>
    <w:p>
      <w:pPr>
        <w:pStyle w:val="Heading1"/>
        <w:numPr>
          <w:ilvl w:val="1"/>
          <w:numId w:val="12"/>
        </w:numPr>
        <w:tabs>
          <w:tab w:pos="982" w:val="left" w:leader="none"/>
          <w:tab w:pos="983" w:val="left" w:leader="none"/>
        </w:tabs>
        <w:spacing w:line="241" w:lineRule="exact" w:before="0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LEBOMLÁS ÉS MEGMARADÁS</w:t>
      </w:r>
    </w:p>
    <w:p>
      <w:pPr>
        <w:pStyle w:val="BodyText"/>
        <w:spacing w:line="241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Nem áll rendelkezésre adat.</w:t>
      </w:r>
    </w:p>
    <w:p>
      <w:pPr>
        <w:pStyle w:val="BodyText"/>
        <w:spacing w:before="9"/>
        <w:ind w:left="0"/>
        <w:rPr>
          <w:sz w:val="19"/>
        </w:rPr>
      </w:pPr>
    </w:p>
    <w:p>
      <w:pPr>
        <w:pStyle w:val="Heading1"/>
        <w:numPr>
          <w:ilvl w:val="1"/>
          <w:numId w:val="12"/>
        </w:numPr>
        <w:tabs>
          <w:tab w:pos="982" w:val="left" w:leader="none"/>
          <w:tab w:pos="983" w:val="left" w:leader="none"/>
        </w:tabs>
        <w:spacing w:line="240" w:lineRule="auto" w:before="0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BIOAKKUMULÁCIÓS KÉPESSÉG</w:t>
      </w:r>
    </w:p>
    <w:p>
      <w:pPr>
        <w:pStyle w:val="BodyText"/>
        <w:spacing w:before="4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Nem áll rendelkezésre adat.</w:t>
      </w:r>
    </w:p>
    <w:p>
      <w:pPr>
        <w:pStyle w:val="BodyText"/>
        <w:spacing w:before="9"/>
        <w:ind w:left="0"/>
        <w:rPr>
          <w:sz w:val="19"/>
        </w:rPr>
      </w:pPr>
    </w:p>
    <w:p>
      <w:pPr>
        <w:pStyle w:val="Heading1"/>
        <w:numPr>
          <w:ilvl w:val="1"/>
          <w:numId w:val="12"/>
        </w:numPr>
        <w:tabs>
          <w:tab w:pos="982" w:val="left" w:leader="none"/>
          <w:tab w:pos="983" w:val="left" w:leader="none"/>
        </w:tabs>
        <w:spacing w:line="240" w:lineRule="auto" w:before="0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TALAJBAN VALÓ MOBILITÁS</w:t>
      </w:r>
    </w:p>
    <w:p>
      <w:pPr>
        <w:spacing w:before="3"/>
        <w:ind w:left="131" w:right="0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Mobilitás.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Nem áll rendelkezésre adat.</w:t>
      </w:r>
    </w:p>
    <w:p>
      <w:pPr>
        <w:pStyle w:val="BodyText"/>
        <w:spacing w:before="9"/>
        <w:ind w:left="0"/>
        <w:rPr>
          <w:sz w:val="19"/>
        </w:rPr>
      </w:pPr>
    </w:p>
    <w:p>
      <w:pPr>
        <w:pStyle w:val="ListParagraph"/>
        <w:numPr>
          <w:ilvl w:val="1"/>
          <w:numId w:val="12"/>
        </w:numPr>
        <w:tabs>
          <w:tab w:pos="982" w:val="left" w:leader="none"/>
          <w:tab w:pos="983" w:val="left" w:leader="none"/>
        </w:tabs>
        <w:spacing w:line="240" w:lineRule="auto" w:before="1" w:after="0"/>
        <w:ind w:left="982" w:right="0" w:hanging="852"/>
        <w:jc w:val="left"/>
        <w:rPr>
          <w:b/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PBT ÉS vPvB ÉRTÉKELÉS EREDMÉNYEI</w:t>
      </w:r>
    </w:p>
    <w:p>
      <w:pPr>
        <w:pStyle w:val="BodyText"/>
        <w:spacing w:before="3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Nem PBT vagy vPvB anyag, illetve keverék.</w:t>
      </w:r>
    </w:p>
    <w:p>
      <w:pPr>
        <w:pStyle w:val="BodyText"/>
        <w:spacing w:before="9"/>
        <w:ind w:left="0"/>
        <w:rPr>
          <w:sz w:val="19"/>
        </w:rPr>
      </w:pPr>
    </w:p>
    <w:p>
      <w:pPr>
        <w:pStyle w:val="Heading1"/>
        <w:numPr>
          <w:ilvl w:val="1"/>
          <w:numId w:val="12"/>
        </w:numPr>
        <w:tabs>
          <w:tab w:pos="982" w:val="left" w:leader="none"/>
          <w:tab w:pos="983" w:val="left" w:leader="none"/>
        </w:tabs>
        <w:spacing w:line="241" w:lineRule="exact" w:before="0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ENDOKRINOLÓGIAILAG KÁROSÍTÓ TULAJDONSÁGOK</w:t>
      </w:r>
    </w:p>
    <w:p>
      <w:pPr>
        <w:pStyle w:val="BodyText"/>
        <w:spacing w:line="241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Nem áll rendelkezésre adat.</w:t>
      </w:r>
    </w:p>
    <w:p>
      <w:pPr>
        <w:pStyle w:val="BodyText"/>
        <w:spacing w:before="2"/>
        <w:ind w:left="0"/>
      </w:pPr>
    </w:p>
    <w:p>
      <w:pPr>
        <w:pStyle w:val="Heading1"/>
        <w:numPr>
          <w:ilvl w:val="1"/>
          <w:numId w:val="12"/>
        </w:numPr>
        <w:tabs>
          <w:tab w:pos="982" w:val="left" w:leader="none"/>
          <w:tab w:pos="983" w:val="left" w:leader="none"/>
        </w:tabs>
        <w:spacing w:line="241" w:lineRule="exact" w:before="0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EGYÉB KÁROS HATÁSOK</w:t>
      </w:r>
    </w:p>
    <w:p>
      <w:pPr>
        <w:pStyle w:val="BodyText"/>
        <w:spacing w:line="241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Jelentős hatás vagy kritikus veszélyt okozó hatás nem ismert.</w:t>
      </w:r>
    </w:p>
    <w:p>
      <w:pPr>
        <w:pStyle w:val="BodyText"/>
        <w:ind w:left="0"/>
        <w:rPr>
          <w:sz w:val="24"/>
        </w:rPr>
      </w:pPr>
    </w:p>
    <w:p>
      <w:pPr>
        <w:spacing w:before="194"/>
        <w:ind w:left="131" w:right="0" w:firstLine="0"/>
        <w:jc w:val="left"/>
        <w:rPr>
          <w:b/>
          <w:sz w:val="20"/>
        </w:rPr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pict>
          <v:rect style="position:absolute;margin-left:56.1506pt;margin-top:22.824892pt;width:513.12pt;height:.48pt;mso-position-horizontal-relative:page;mso-position-vertical-relative:paragraph;z-index:-15722496;mso-wrap-distance-left:0;mso-wrap-distance-right:0" id="docshape16" filled="true" fillcolor="#000000" stroked="false">
            <v:fill type="solid"/>
            <w10:wrap type="topAndBottom"/>
          </v:rect>
        </w:pic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13. szakasz </w: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ÁRTALMATLANÍTÁSI SZEMPONTOK</w:t>
      </w:r>
    </w:p>
    <w:p>
      <w:pPr>
        <w:pStyle w:val="BodyText"/>
        <w:spacing w:before="7"/>
        <w:ind w:left="0"/>
        <w:rPr>
          <w:b/>
          <w:sz w:val="11"/>
        </w:rPr>
      </w:pPr>
    </w:p>
    <w:p>
      <w:pPr>
        <w:pStyle w:val="Heading1"/>
        <w:numPr>
          <w:ilvl w:val="1"/>
          <w:numId w:val="13"/>
        </w:numPr>
        <w:tabs>
          <w:tab w:pos="982" w:val="left" w:leader="none"/>
          <w:tab w:pos="983" w:val="left" w:leader="none"/>
        </w:tabs>
        <w:spacing w:line="240" w:lineRule="auto" w:before="101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HULLADÉKKEZELÉSI MÓDSZEREK</w:t>
      </w:r>
    </w:p>
    <w:p>
      <w:pPr>
        <w:spacing w:after="0" w:line="240" w:lineRule="auto"/>
        <w:jc w:val="left"/>
        <w:sectPr>
          <w:pgSz w:w="11910" w:h="16840"/>
          <w:pgMar w:header="585" w:footer="0" w:top="2300" w:bottom="280" w:left="1020" w:right="420"/>
        </w:sectPr>
      </w:pPr>
    </w:p>
    <w:p>
      <w:pPr>
        <w:pStyle w:val="BodyText"/>
        <w:spacing w:before="11"/>
        <w:ind w:left="0"/>
        <w:rPr>
          <w:b/>
          <w:sz w:val="13"/>
        </w:rPr>
      </w:pPr>
    </w:p>
    <w:p>
      <w:pPr>
        <w:pStyle w:val="BodyText"/>
        <w:spacing w:line="241" w:lineRule="exact" w:before="102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Maradék hulladék. 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 tartalom/tartály ártalmatlanítása a helyi/regionális/nemzeti/nemzetközi előírásoknak megfelelően.</w:t>
      </w:r>
    </w:p>
    <w:p>
      <w:pPr>
        <w:spacing w:line="240" w:lineRule="exact" w:before="0"/>
        <w:ind w:left="131" w:right="0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Szennyezett csomagolás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Nincs adat.</w:t>
      </w:r>
    </w:p>
    <w:p>
      <w:pPr>
        <w:spacing w:line="241" w:lineRule="exact" w:before="0"/>
        <w:ind w:left="131" w:right="0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EU hulladékkód.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Nincs adat.</w:t>
      </w:r>
    </w:p>
    <w:p>
      <w:pPr>
        <w:spacing w:before="3"/>
        <w:ind w:left="131" w:right="0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Ártalmatlanítási módszerek/információk.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Az ártalmatlanítás előtt tekintse át a szövetségi, állami/tartományi és helyi önkormányzati követelményeket.</w:t>
      </w:r>
    </w:p>
    <w:p>
      <w:pPr>
        <w:pStyle w:val="BodyText"/>
        <w:ind w:left="0"/>
        <w:rPr>
          <w:sz w:val="24"/>
        </w:rPr>
      </w:pPr>
    </w:p>
    <w:p>
      <w:pPr>
        <w:spacing w:before="193"/>
        <w:ind w:left="131" w:right="0" w:firstLine="0"/>
        <w:jc w:val="left"/>
        <w:rPr>
          <w:b/>
          <w:sz w:val="20"/>
        </w:rPr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pict>
          <v:rect style="position:absolute;margin-left:56.1506pt;margin-top:22.534901pt;width:513.12pt;height:.48pt;mso-position-horizontal-relative:page;mso-position-vertical-relative:paragraph;z-index:-15721984;mso-wrap-distance-left:0;mso-wrap-distance-right:0" id="docshape17" filled="true" fillcolor="#000000" stroked="false">
            <v:fill type="solid"/>
            <w10:wrap type="topAndBottom"/>
          </v:rect>
        </w:pic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14. szakasz </w: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SZÁLLÍTÁSRA VONATKOZÓ INFORMÁCIÓK</w:t>
      </w:r>
    </w:p>
    <w:p>
      <w:pPr>
        <w:pStyle w:val="BodyText"/>
        <w:spacing w:before="11"/>
        <w:ind w:left="0"/>
        <w:rPr>
          <w:b/>
          <w:sz w:val="11"/>
        </w:rPr>
      </w:pPr>
    </w:p>
    <w:p>
      <w:pPr>
        <w:pStyle w:val="BodyText"/>
        <w:spacing w:before="102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Szállítás csak az ADR -nek megfelelően a közúti szállításhoz, a vasúti szállításhoz, az ADNR/IMDG pedig hajón/tengeren és IATA -hoz történő szállításhoz.</w:t>
      </w:r>
    </w:p>
    <w:p>
      <w:pPr>
        <w:pStyle w:val="BodyText"/>
        <w:spacing w:before="8"/>
        <w:ind w:left="0"/>
        <w:rPr>
          <w:sz w:val="19"/>
        </w:rPr>
      </w:pPr>
    </w:p>
    <w:p>
      <w:pPr>
        <w:pStyle w:val="ListParagraph"/>
        <w:numPr>
          <w:ilvl w:val="1"/>
          <w:numId w:val="14"/>
        </w:numPr>
        <w:tabs>
          <w:tab w:pos="982" w:val="left" w:leader="none"/>
          <w:tab w:pos="983" w:val="left" w:leader="none"/>
        </w:tabs>
        <w:spacing w:line="240" w:lineRule="auto" w:before="0" w:after="0"/>
        <w:ind w:left="982" w:right="0" w:hanging="852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UN-szám vagy azonosító szám.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Nincs.</w:t>
      </w:r>
    </w:p>
    <w:p>
      <w:pPr>
        <w:pStyle w:val="ListParagraph"/>
        <w:numPr>
          <w:ilvl w:val="1"/>
          <w:numId w:val="14"/>
        </w:numPr>
        <w:tabs>
          <w:tab w:pos="982" w:val="left" w:leader="none"/>
          <w:tab w:pos="983" w:val="left" w:leader="none"/>
        </w:tabs>
        <w:spacing w:line="241" w:lineRule="exact" w:before="3" w:after="0"/>
        <w:ind w:left="982" w:right="0" w:hanging="852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Az ENSZ szerinti megfelelő szállítási megnevezés.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Nincs.</w:t>
      </w:r>
    </w:p>
    <w:p>
      <w:pPr>
        <w:pStyle w:val="ListParagraph"/>
        <w:numPr>
          <w:ilvl w:val="1"/>
          <w:numId w:val="14"/>
        </w:numPr>
        <w:tabs>
          <w:tab w:pos="982" w:val="left" w:leader="none"/>
          <w:tab w:pos="983" w:val="left" w:leader="none"/>
        </w:tabs>
        <w:spacing w:line="240" w:lineRule="exact" w:before="0" w:after="0"/>
        <w:ind w:left="982" w:right="0" w:hanging="852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Szállítási veszélyességi osztály(ok).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Nincs.</w:t>
      </w:r>
    </w:p>
    <w:p>
      <w:pPr>
        <w:pStyle w:val="ListParagraph"/>
        <w:numPr>
          <w:ilvl w:val="1"/>
          <w:numId w:val="14"/>
        </w:numPr>
        <w:tabs>
          <w:tab w:pos="982" w:val="left" w:leader="none"/>
          <w:tab w:pos="983" w:val="left" w:leader="none"/>
        </w:tabs>
        <w:spacing w:line="241" w:lineRule="exact" w:before="0" w:after="0"/>
        <w:ind w:left="982" w:right="0" w:hanging="852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Csomagolási csoport.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Nincs.</w:t>
      </w:r>
    </w:p>
    <w:p>
      <w:pPr>
        <w:pStyle w:val="ListParagraph"/>
        <w:numPr>
          <w:ilvl w:val="1"/>
          <w:numId w:val="14"/>
        </w:numPr>
        <w:tabs>
          <w:tab w:pos="982" w:val="left" w:leader="none"/>
          <w:tab w:pos="983" w:val="left" w:leader="none"/>
        </w:tabs>
        <w:spacing w:line="241" w:lineRule="exact" w:before="4" w:after="0"/>
        <w:ind w:left="982" w:right="0" w:hanging="852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Környezeti veszélyek.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Nincs.</w:t>
      </w:r>
    </w:p>
    <w:p>
      <w:pPr>
        <w:pStyle w:val="ListParagraph"/>
        <w:numPr>
          <w:ilvl w:val="1"/>
          <w:numId w:val="14"/>
        </w:numPr>
        <w:tabs>
          <w:tab w:pos="982" w:val="left" w:leader="none"/>
          <w:tab w:pos="983" w:val="left" w:leader="none"/>
        </w:tabs>
        <w:spacing w:line="240" w:lineRule="auto" w:before="0" w:after="0"/>
        <w:ind w:left="982" w:right="125" w:hanging="851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A felhasználót érintő különleges óvintézkedések.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Használat előtt olvassa el a biztonsági adatlap biztonsági utasításait és a vészhelyzeti eljárásokat.</w:t>
      </w:r>
    </w:p>
    <w:p>
      <w:pPr>
        <w:pStyle w:val="ListParagraph"/>
        <w:numPr>
          <w:ilvl w:val="1"/>
          <w:numId w:val="14"/>
        </w:numPr>
        <w:tabs>
          <w:tab w:pos="982" w:val="left" w:leader="none"/>
          <w:tab w:pos="983" w:val="left" w:leader="none"/>
        </w:tabs>
        <w:spacing w:line="239" w:lineRule="exact" w:before="0" w:after="0"/>
        <w:ind w:left="982" w:right="0" w:hanging="852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Az IMO-szabályok szerinti tengeri ömlesztett szállítás.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Nem vonatkozik.</w:t>
      </w:r>
    </w:p>
    <w:p>
      <w:pPr>
        <w:pStyle w:val="BodyText"/>
        <w:ind w:left="0"/>
        <w:rPr>
          <w:sz w:val="24"/>
        </w:rPr>
      </w:pPr>
    </w:p>
    <w:p>
      <w:pPr>
        <w:spacing w:before="193"/>
        <w:ind w:left="131" w:right="0" w:firstLine="0"/>
        <w:jc w:val="left"/>
        <w:rPr>
          <w:b/>
          <w:sz w:val="20"/>
        </w:rPr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pict>
          <v:rect style="position:absolute;margin-left:56.1506pt;margin-top:22.774878pt;width:513.12pt;height:.48pt;mso-position-horizontal-relative:page;mso-position-vertical-relative:paragraph;z-index:-15721472;mso-wrap-distance-left:0;mso-wrap-distance-right:0" id="docshape18" filled="true" fillcolor="#000000" stroked="false">
            <v:fill type="solid"/>
            <w10:wrap type="topAndBottom"/>
          </v:rect>
        </w:pic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15. szakasz </w: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SZABÁLYOZÁSSAL KAPCSOLATOS INFORMÁCIÓK</w:t>
      </w:r>
    </w:p>
    <w:p>
      <w:pPr>
        <w:pStyle w:val="BodyText"/>
        <w:spacing w:before="7"/>
        <w:ind w:left="0"/>
        <w:rPr>
          <w:b/>
          <w:sz w:val="11"/>
        </w:rPr>
      </w:pPr>
    </w:p>
    <w:p>
      <w:pPr>
        <w:pStyle w:val="Heading1"/>
        <w:numPr>
          <w:ilvl w:val="1"/>
          <w:numId w:val="15"/>
        </w:numPr>
        <w:tabs>
          <w:tab w:pos="982" w:val="left" w:leader="none"/>
          <w:tab w:pos="983" w:val="left" w:leader="none"/>
        </w:tabs>
        <w:spacing w:line="240" w:lineRule="auto" w:before="101" w:after="0"/>
        <w:ind w:left="131" w:right="125" w:firstLine="0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AZ ADOTT ANYAGGAL VAGY KEVERÉKKEL KAPCSOLATOS BIZTONSÁGI, EGÉSZSÉGÜGYI ÉS KÖRNYEZETVÉDELMI ELŐÍRÁSOK/JOGSZABÁLYOK</w:t>
      </w:r>
    </w:p>
    <w:p>
      <w:pPr>
        <w:pStyle w:val="ListParagraph"/>
        <w:numPr>
          <w:ilvl w:val="2"/>
          <w:numId w:val="15"/>
        </w:numPr>
        <w:tabs>
          <w:tab w:pos="312" w:val="left" w:leader="none"/>
        </w:tabs>
        <w:spacing w:line="240" w:lineRule="auto" w:before="2" w:after="0"/>
        <w:ind w:left="131" w:right="123" w:firstLine="0"/>
        <w:jc w:val="both"/>
        <w:rPr>
          <w:sz w:val="20"/>
        </w:rPr>
        <w:bidi w:val="0"/>
      </w:pP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Az Európai Parlament és a Tanács 1907/2006/EK rendelete (2006. december 18.) a vegyi anyagok regisztrálásáról, értékeléséről, engedélyezéséről és korlátozásáról (REACH), az Európai Vegyianyag-ügynökség létrehozásáról, az 1999/45/EK irányelv módosításáról, ill. a 793/93/EGK tanácsi rendelet, az 1488/94/EK bizottsági rendelet, a 76/769/EGK tanácsi irányelv és a 91/155/EGK, 93/67/EGK, 93/105/EK bizottsági irányelvek hatályon kívül helyezéséről és 2000/21/EK (az Európai Unió Hivatalos Lapja L 396. szám, 2006.12.30., hibajavítás – L 136/3. szám, 2007-5-29);</w:t>
      </w:r>
    </w:p>
    <w:p>
      <w:pPr>
        <w:pStyle w:val="ListParagraph"/>
        <w:numPr>
          <w:ilvl w:val="2"/>
          <w:numId w:val="15"/>
        </w:numPr>
        <w:tabs>
          <w:tab w:pos="329" w:val="left" w:leader="none"/>
        </w:tabs>
        <w:spacing w:line="240" w:lineRule="auto" w:before="2" w:after="0"/>
        <w:ind w:left="131" w:right="123" w:firstLine="0"/>
        <w:jc w:val="both"/>
        <w:rPr>
          <w:sz w:val="20"/>
        </w:rPr>
        <w:bidi w:val="0"/>
      </w:pP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 BIZOTTSÁG (EU) 2020/878 RENDELETE (2020. június 18.) a vegyi anyagok regisztrálásáról, értékeléséről, engedélyezéséről és korlátozásáról szóló 1907/2006/EK európai parlamenti és tanácsi rendelet (REACH) módosításáról (HL L 203., 6.26.) .2020, 28–58.);</w:t>
      </w:r>
    </w:p>
    <w:p>
      <w:pPr>
        <w:pStyle w:val="ListParagraph"/>
        <w:numPr>
          <w:ilvl w:val="2"/>
          <w:numId w:val="15"/>
        </w:numPr>
        <w:tabs>
          <w:tab w:pos="329" w:val="left" w:leader="none"/>
        </w:tabs>
        <w:spacing w:line="240" w:lineRule="auto" w:before="0" w:after="0"/>
        <w:ind w:left="131" w:right="120" w:firstLine="0"/>
        <w:jc w:val="both"/>
        <w:rPr>
          <w:sz w:val="20"/>
        </w:rPr>
        <w:bidi w:val="0"/>
      </w:pP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2008. december 16-án aláírták az Európai Parlament és a Tanács 1272/2008/EK rendeletét a vegyi anyagok és keverékek osztályozásáról, címkézéséről és csomagolásáról. Az említett rendelet módosította és hatályon kívül helyezte a 67/548/EEK és az 1999/45/EK irányelveket, valamint az 1907/2006/EK szabályozását. A rendeletet az Európai Unió Hivatalos folyóiratában, L 353, 51. kötet, 2008. december 31 -én tették közzé;</w:t>
      </w:r>
    </w:p>
    <w:p>
      <w:pPr>
        <w:pStyle w:val="ListParagraph"/>
        <w:numPr>
          <w:ilvl w:val="2"/>
          <w:numId w:val="15"/>
        </w:numPr>
        <w:tabs>
          <w:tab w:pos="337" w:val="left" w:leader="none"/>
        </w:tabs>
        <w:spacing w:line="240" w:lineRule="auto" w:before="0" w:after="0"/>
        <w:ind w:left="131" w:right="123" w:firstLine="0"/>
        <w:jc w:val="both"/>
        <w:rPr>
          <w:sz w:val="20"/>
        </w:rPr>
        <w:bidi w:val="0"/>
      </w:pP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 BIZOTTSÁG (EU) 2016/918 RENDELETE (2016. május 19.) az anyagok osztályozásáról, címkézéséről és csomagolásáról szóló 1272/2008/EK európai parlamenti és tanácsi rendeletnek a műszaki és tudományos fejlődéshez történő hozzáigazítása céljából módosításáról és keverékek. A rendeletet 2016. június 14 -én tették közzé az Európai Unió Hivatalos folyóiratában;</w:t>
      </w:r>
    </w:p>
    <w:p>
      <w:pPr>
        <w:pStyle w:val="ListParagraph"/>
        <w:numPr>
          <w:ilvl w:val="2"/>
          <w:numId w:val="15"/>
        </w:numPr>
        <w:tabs>
          <w:tab w:pos="304" w:val="left" w:leader="none"/>
        </w:tabs>
        <w:spacing w:line="240" w:lineRule="exact" w:before="0" w:after="0"/>
        <w:ind w:left="303" w:right="0" w:hanging="173"/>
        <w:jc w:val="both"/>
        <w:rPr>
          <w:sz w:val="20"/>
        </w:rPr>
        <w:bidi w:val="0"/>
      </w:pP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AZ EURÓPAI PARLAMENT ÉS A TANÁCS 1223/2009/EK RENDELETE (2009. november 30.)</w:t>
      </w:r>
    </w:p>
    <w:p>
      <w:pPr>
        <w:pStyle w:val="BodyText"/>
        <w:spacing w:line="241" w:lineRule="exact"/>
        <w:jc w:val="both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 kozmetikai termékekről (HL L 342., 2009.12.22., 59. o.);</w:t>
      </w:r>
    </w:p>
    <w:p>
      <w:pPr>
        <w:pStyle w:val="ListParagraph"/>
        <w:numPr>
          <w:ilvl w:val="2"/>
          <w:numId w:val="15"/>
        </w:numPr>
        <w:tabs>
          <w:tab w:pos="304" w:val="left" w:leader="none"/>
        </w:tabs>
        <w:spacing w:line="240" w:lineRule="auto" w:before="1" w:after="0"/>
        <w:ind w:left="303" w:right="0" w:hanging="173"/>
        <w:jc w:val="both"/>
        <w:rPr>
          <w:sz w:val="20"/>
        </w:rPr>
        <w:bidi w:val="0"/>
      </w:pP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 veszélyes áruk közúton történő nemzetközi szállításával kapcsolatos európai megállapodás (ADR).</w:t>
      </w:r>
    </w:p>
    <w:p>
      <w:pPr>
        <w:pStyle w:val="BodyText"/>
        <w:spacing w:before="9"/>
        <w:ind w:left="0"/>
        <w:rPr>
          <w:sz w:val="19"/>
        </w:rPr>
      </w:pPr>
    </w:p>
    <w:p>
      <w:pPr>
        <w:pStyle w:val="Heading1"/>
        <w:numPr>
          <w:ilvl w:val="1"/>
          <w:numId w:val="15"/>
        </w:numPr>
        <w:tabs>
          <w:tab w:pos="982" w:val="left" w:leader="none"/>
          <w:tab w:pos="983" w:val="left" w:leader="none"/>
        </w:tabs>
        <w:spacing w:line="240" w:lineRule="auto" w:before="1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KÉMIAI BIZTONSÁGI ÉRTÉKELÉS</w:t>
      </w:r>
    </w:p>
    <w:p>
      <w:pPr>
        <w:pStyle w:val="BodyText"/>
        <w:spacing w:before="3"/>
        <w:jc w:val="both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Ennél a terméknél nem végeztek kémiai biztonsági értékelést.</w:t>
      </w:r>
    </w:p>
    <w:p>
      <w:pPr>
        <w:pStyle w:val="BodyText"/>
        <w:ind w:left="0"/>
        <w:rPr>
          <w:sz w:val="24"/>
        </w:rPr>
      </w:pPr>
    </w:p>
    <w:p>
      <w:pPr>
        <w:spacing w:before="189"/>
        <w:ind w:left="131" w:right="0" w:firstLine="0"/>
        <w:jc w:val="both"/>
        <w:rPr>
          <w:b/>
          <w:sz w:val="20"/>
        </w:rPr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pict>
          <v:rect style="position:absolute;margin-left:56.1506pt;margin-top:22.574896pt;width:513.12pt;height:.48pt;mso-position-horizontal-relative:page;mso-position-vertical-relative:paragraph;z-index:-15720960;mso-wrap-distance-left:0;mso-wrap-distance-right:0" id="docshape19" filled="true" fillcolor="#000000" stroked="false">
            <v:fill type="solid"/>
            <w10:wrap type="topAndBottom"/>
          </v:rect>
        </w:pic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16. szakasz </w: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EGYÉB INFORMÁCIÓK</w:t>
      </w:r>
    </w:p>
    <w:p>
      <w:pPr>
        <w:pStyle w:val="BodyText"/>
        <w:spacing w:before="7"/>
        <w:ind w:left="0"/>
        <w:rPr>
          <w:b/>
          <w:sz w:val="11"/>
        </w:rPr>
      </w:pPr>
    </w:p>
    <w:p>
      <w:pPr>
        <w:pStyle w:val="Heading1"/>
        <w:numPr>
          <w:ilvl w:val="1"/>
          <w:numId w:val="16"/>
        </w:numPr>
        <w:tabs>
          <w:tab w:pos="982" w:val="left" w:leader="none"/>
          <w:tab w:pos="983" w:val="left" w:leader="none"/>
        </w:tabs>
        <w:spacing w:line="240" w:lineRule="auto" w:before="101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VÁLTOZÁSOK JELZÉSE</w:t>
      </w:r>
    </w:p>
    <w:p>
      <w:pPr>
        <w:pStyle w:val="BodyText"/>
        <w:spacing w:before="4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Az 1907/2006/EK rendeletben és a 2020/878 rendeletben foglalt információk.</w:t>
      </w:r>
    </w:p>
    <w:p>
      <w:pPr>
        <w:spacing w:after="0"/>
        <w:sectPr>
          <w:pgSz w:w="11910" w:h="16840"/>
          <w:pgMar w:header="585" w:footer="0" w:top="2300" w:bottom="280" w:left="1020" w:right="420"/>
        </w:sectPr>
      </w:pPr>
    </w:p>
    <w:p>
      <w:pPr>
        <w:pStyle w:val="BodyText"/>
        <w:spacing w:before="11"/>
        <w:ind w:left="0"/>
        <w:rPr>
          <w:sz w:val="13"/>
        </w:rPr>
      </w:pPr>
    </w:p>
    <w:p>
      <w:pPr>
        <w:spacing w:before="102"/>
        <w:ind w:left="131" w:right="7749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Változások jelzése: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–. Kitöltés dátuma: 2022-01-25 Felülvizsgálat: –</w:t>
      </w:r>
    </w:p>
    <w:p>
      <w:pPr>
        <w:pStyle w:val="BodyText"/>
        <w:spacing w:before="1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Verzió szám: 1</w:t>
      </w:r>
    </w:p>
    <w:p>
      <w:pPr>
        <w:pStyle w:val="BodyText"/>
        <w:spacing w:before="9"/>
        <w:ind w:left="0"/>
        <w:rPr>
          <w:sz w:val="19"/>
        </w:rPr>
      </w:pPr>
    </w:p>
    <w:p>
      <w:pPr>
        <w:pStyle w:val="Heading1"/>
        <w:numPr>
          <w:ilvl w:val="1"/>
          <w:numId w:val="16"/>
        </w:numPr>
        <w:tabs>
          <w:tab w:pos="982" w:val="left" w:leader="none"/>
          <w:tab w:pos="983" w:val="left" w:leader="none"/>
        </w:tabs>
        <w:spacing w:line="241" w:lineRule="exact" w:before="0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A VESZÉLYESSÉGI ÉS ÓVINTÉZKEDÉSEK TELJES SZÖVEGE</w:t>
      </w:r>
    </w:p>
    <w:p>
      <w:pPr>
        <w:pStyle w:val="BodyText"/>
        <w:spacing w:line="241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Nincs.</w:t>
      </w:r>
    </w:p>
    <w:p>
      <w:pPr>
        <w:pStyle w:val="BodyText"/>
        <w:spacing w:before="2"/>
        <w:ind w:left="0"/>
      </w:pPr>
    </w:p>
    <w:p>
      <w:pPr>
        <w:spacing w:before="0"/>
        <w:ind w:left="131" w:right="0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Kiegészítő címkeinformáció: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Nincs.</w:t>
      </w:r>
    </w:p>
    <w:p>
      <w:pPr>
        <w:pStyle w:val="BodyText"/>
        <w:spacing w:before="2"/>
        <w:ind w:left="0"/>
      </w:pPr>
    </w:p>
    <w:p>
      <w:pPr>
        <w:spacing w:before="0"/>
        <w:ind w:left="131" w:right="0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Rövidítések: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Nincs.</w:t>
      </w:r>
    </w:p>
    <w:p>
      <w:pPr>
        <w:pStyle w:val="BodyText"/>
        <w:spacing w:before="9"/>
        <w:ind w:left="0"/>
        <w:rPr>
          <w:sz w:val="19"/>
        </w:rPr>
      </w:pPr>
    </w:p>
    <w:p>
      <w:pPr>
        <w:spacing w:line="241" w:lineRule="exact" w:before="0"/>
        <w:ind w:left="131" w:right="0" w:firstLine="0"/>
        <w:jc w:val="left"/>
        <w:rPr>
          <w:b/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Rövidítések:</w:t>
      </w:r>
    </w:p>
    <w:p>
      <w:pPr>
        <w:pStyle w:val="BodyText"/>
        <w:spacing w:line="241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ADR - a Veszélyes Áruk Nemzetközi Közúti Szállításáról szóló Európai Megállapodás</w:t>
      </w:r>
    </w:p>
    <w:p>
      <w:pPr>
        <w:pStyle w:val="BodyText"/>
        <w:spacing w:before="4"/>
        <w:ind w:right="399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ADN – Európai megállapodás a veszélyes áruk nemzetközi belvízi szállításáról. RID – A veszélyes áruk nemzetközi vasúti szállítására vonatkozó szabályok.</w:t>
      </w:r>
    </w:p>
    <w:p>
      <w:pPr>
        <w:pStyle w:val="BodyText"/>
        <w:spacing w:line="242" w:lineRule="auto"/>
        <w:ind w:right="5653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IMDG – Nemzetközi Tengerészeti Veszélyes Áruk. IATA - Nemzetközi Légi Szállítási Szövetség.</w:t>
      </w:r>
    </w:p>
    <w:p>
      <w:pPr>
        <w:pStyle w:val="BodyText"/>
        <w:spacing w:line="238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IMO – Nemzetközi Tengerészeti Szervezet.</w:t>
      </w:r>
    </w:p>
    <w:p>
      <w:pPr>
        <w:pStyle w:val="BodyText"/>
        <w:spacing w:line="241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vPvB - Nagyon perzisztens és nagyon bioakkumulatív</w:t>
      </w:r>
    </w:p>
    <w:p>
      <w:pPr>
        <w:pStyle w:val="BodyText"/>
        <w:ind w:right="5016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PBT - perzisztens, bioakkumulatív és toxikus anyag. LC50 - Halálos koncentráció a vizsgált populáció 50%-ánál.</w:t>
      </w:r>
    </w:p>
    <w:p>
      <w:pPr>
        <w:pStyle w:val="BodyText"/>
        <w:spacing w:line="238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LD50 -Halálos dózis a vizsgált populáció 50%-ánál (átlagos halálos dózis).</w:t>
      </w:r>
    </w:p>
    <w:p>
      <w:pPr>
        <w:pStyle w:val="BodyText"/>
        <w:ind w:right="1256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EC50 – Hatásos koncentráció a vizsgált populáció 50%-ára (a maximális hatásos koncentráció fele). IC50 – Gátlási koncentráció a tesztpopuláció 50%-ára (a maximális gátló koncentráció fele). CAS – Chemical Abstracts Service number.</w:t>
      </w:r>
    </w:p>
    <w:p>
      <w:pPr>
        <w:pStyle w:val="BodyText"/>
        <w:spacing w:line="242" w:lineRule="auto"/>
        <w:ind w:right="6047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CEN – Európai Szabványügyi Bizottság. STOT – Célszervi toxicitás.</w:t>
      </w:r>
    </w:p>
    <w:p>
      <w:pPr>
        <w:pStyle w:val="BodyText"/>
        <w:spacing w:line="238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PNEC - Becsült hatásmentes koncentráció</w:t>
      </w:r>
    </w:p>
    <w:p>
      <w:pPr>
        <w:pStyle w:val="BodyText"/>
        <w:ind w:right="3500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ACGIH – A foglalkozás- és környezetegészségügyet előmozdító egyesület. NIOSH – Országos Munkahelyi Biztonsági és Egészségvédelmi Intézet.</w:t>
      </w:r>
    </w:p>
    <w:p>
      <w:pPr>
        <w:pStyle w:val="BodyText"/>
        <w:spacing w:before="1"/>
        <w:ind w:right="7324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NOEC – Nincs hatásos koncentráció. SDS - Biztonsági adatlap.</w:t>
      </w:r>
    </w:p>
    <w:p>
      <w:pPr>
        <w:pStyle w:val="BodyText"/>
        <w:spacing w:before="1"/>
        <w:ind w:left="0"/>
      </w:pPr>
    </w:p>
    <w:p>
      <w:pPr>
        <w:pStyle w:val="Heading1"/>
        <w:ind w:left="131" w:firstLine="0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FŐBB FELHASZNÁLT FORRÁSMUNKÁK:</w:t>
      </w:r>
    </w:p>
    <w:p>
      <w:pPr>
        <w:pStyle w:val="BodyTex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- Az Európai Vegyianyag Iroda (ECB), az Európai Vegyianyag Ügynökség (ECHA), a Svéd Vegyianyag Ügynökség (KEMI), a Nemzetközi Laboratóriumok Szervezete (ILO), a TOXNET internetes oldalak által szolgáltatott adatok.</w:t>
      </w:r>
    </w:p>
    <w:p>
      <w:pPr>
        <w:pStyle w:val="BodyText"/>
        <w:ind w:left="0"/>
      </w:pPr>
    </w:p>
    <w:p>
      <w:pPr>
        <w:spacing w:line="241" w:lineRule="exact" w:before="0"/>
        <w:ind w:left="131" w:right="0" w:firstLine="0"/>
        <w:jc w:val="left"/>
        <w:rPr>
          <w:b/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Felelősségkorlátozási nyilatkozat</w:t>
      </w:r>
    </w:p>
    <w:p>
      <w:pPr>
        <w:pStyle w:val="BodyText"/>
        <w:ind w:right="122"/>
        <w:jc w:val="both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Az információ legjobb tudásunk szerint az SDS közzétételének időpontjában helyes. Ez nem egy specifikációs lap, és a megjelenített adatok sem tekinthetők specifikációnak. A jelen anyagbiztonsági adatlapon feltüntetett biztonsági információk általunk megbízhatónak ítélt forrásokból származnak. Az információkat azonban a helyességére vonatkozó kifejezett vagy hallgatólagos garancia nélkül adjuk. Egyes itt bemutatott információk és levont következtetések nem a termékre vonatkozó közvetlen tesztadatoktól származnak. A termék kezelésének, tárolásának, felhasználásának és ártalmatlanításának feltételei és módszerei ellenőrzésünkön kívül esnek, és meghaladhatják ismereteinket. Emiatt és egyéb okokból nem vállalunk felelősséget és kifejezetten elhárítjuk a felelősséget a termék kezeléséből, tárolásából, használatából vagy ártalmatlanításából eredő vagy azzal bármilyen módon összefüggő veszteségekért, károkért vagy költségekért. Ha a terméket egy másik termék összetevőjeként használják, előfordulhat, hogy ez az SDS-információ nem alkalmazható.</w:t>
      </w:r>
    </w:p>
    <w:sectPr>
      <w:pgSz w:w="11910" w:h="16840"/>
      <w:pgMar w:header="585" w:footer="0" w:top="2300" w:bottom="280" w:left="102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ahoma">
    <w:altName w:val="Tahoma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bidi w:val="0"/>
    </w:pPr>
    <w:r>
      <w:rPr>
        <w:lang w:val="hu"/>
        <w:b w:val="0"/>
        <w:bCs w:val="0"/>
        <w:i w:val="0"/>
        <w:iCs w:val="0"/>
        <w:u w:val="none"/>
        <w:vertAlign w:val="baseline"/>
        <w:rtl w:val="0"/>
      </w:rPr>
      <w:pict>
        <v:rect style="position:absolute;margin-left:56.1506pt;margin-top:114.710571pt;width:513.12pt;height:.48pt;mso-position-horizontal-relative:page;mso-position-vertical-relative:page;z-index:-16041472" id="docshape1" filled="true" fillcolor="#000000" stroked="false">
          <v:fill type="solid"/>
          <w10:wrap type="none"/>
        </v:rect>
      </w:pict>
    </w:r>
    <w:r>
      <w:rPr>
        <w:lang w:val="hu"/>
        <w:b w:val="0"/>
        <w:bCs w:val="0"/>
        <w:i w:val="0"/>
        <w:iCs w:val="0"/>
        <w:u w:val="none"/>
        <w:vertAlign w:val="baseline"/>
        <w:rtl w:val="0"/>
      </w:rPr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6.590694pt;margin-top:28.265648pt;width:380.65pt;height:38.450pt;mso-position-horizontal-relative:page;mso-position-vertical-relative:page;z-index:-16040960" type="#_x0000_t202" id="docshape2" filled="false" stroked="false">
          <v:textbox inset="0,0,0,0">
            <w:txbxContent>
              <w:p>
                <w:pPr>
                  <w:spacing w:line="241" w:lineRule="exact" w:before="21"/>
                  <w:ind w:left="20" w:right="0" w:firstLine="0"/>
                  <w:jc w:val="left"/>
                  <w:rPr>
                    <w:b/>
                    <w:sz w:val="20"/>
                  </w:rPr>
                  <w:bidi w:val="0"/>
                </w:pPr>
                <w:r>
                  <w:rPr>
                    <w:sz w:val="20"/>
                    <w:lang w:val="hu"/>
                    <w:b w:val="1"/>
                    <w:bCs w:val="1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BIZTONSÁGI ADATLAP</w:t>
                </w:r>
              </w:p>
              <w:p>
                <w:pPr>
                  <w:pStyle w:val="BodyText"/>
                  <w:spacing w:line="241" w:lineRule="exact"/>
                  <w:ind w:left="20"/>
                  <w:bidi w:val="0"/>
                </w:pPr>
                <w:r>
                  <w:rPr>
                    <w:lang w:val="hu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Az Európai Bizottság (EU) 2020/878 rendelet II. melléklete szerint készült</w:t>
                </w:r>
              </w:p>
              <w:p>
                <w:pPr>
                  <w:spacing w:before="4"/>
                  <w:ind w:left="20" w:right="0" w:firstLine="0"/>
                  <w:jc w:val="left"/>
                  <w:rPr>
                    <w:sz w:val="20"/>
                  </w:rPr>
                  <w:bidi w:val="0"/>
                </w:pPr>
                <w:r>
                  <w:rPr>
                    <w:sz w:val="20"/>
                    <w:lang w:val="hu"/>
                    <w:b w:val="1"/>
                    <w:bCs w:val="1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TERMÉK: </w:t>
                </w:r>
                <w:r>
                  <w:rPr>
                    <w:sz w:val="20"/>
                    <w:lang w:val="hu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Pigment tartós sminkhez</w:t>
                </w:r>
              </w:p>
            </w:txbxContent>
          </v:textbox>
          <w10:wrap type="none"/>
        </v:shape>
      </w:pict>
    </w:r>
    <w:r>
      <w:rPr>
        <w:lang w:val="hu"/>
        <w:b w:val="0"/>
        <w:bCs w:val="0"/>
        <w:i w:val="0"/>
        <w:iCs w:val="0"/>
        <w:u w:val="none"/>
        <w:vertAlign w:val="baseline"/>
        <w:rtl w:val="0"/>
      </w:rPr>
      <w:pict>
        <v:shape style="position:absolute;margin-left:442.213013pt;margin-top:64.505646pt;width:126.75pt;height:50.45pt;mso-position-horizontal-relative:page;mso-position-vertical-relative:page;z-index:-16040448" type="#_x0000_t202" id="docshape3" filled="false" stroked="false">
          <v:textbox inset="0,0,0,0">
            <w:txbxContent>
              <w:p>
                <w:pPr>
                  <w:spacing w:line="241" w:lineRule="exact" w:before="21"/>
                  <w:ind w:left="0" w:right="18" w:firstLine="0"/>
                  <w:jc w:val="right"/>
                  <w:rPr>
                    <w:sz w:val="20"/>
                  </w:rPr>
                  <w:bidi w:val="0"/>
                </w:pPr>
                <w:r>
                  <w:rPr>
                    <w:sz w:val="20"/>
                    <w:lang w:val="hu"/>
                    <w:b w:val="1"/>
                    <w:bCs w:val="1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Kitöltés dátuma</w:t>
                </w:r>
                <w:r>
                  <w:rPr>
                    <w:sz w:val="20"/>
                    <w:lang w:val="hu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 : 25 01 2022</w:t>
                </w:r>
              </w:p>
              <w:p>
                <w:pPr>
                  <w:spacing w:line="241" w:lineRule="exact" w:before="0"/>
                  <w:ind w:left="0" w:right="18" w:firstLine="0"/>
                  <w:jc w:val="right"/>
                  <w:rPr>
                    <w:sz w:val="20"/>
                  </w:rPr>
                  <w:bidi w:val="0"/>
                </w:pPr>
                <w:r>
                  <w:rPr>
                    <w:sz w:val="20"/>
                    <w:lang w:val="hu"/>
                    <w:b w:val="1"/>
                    <w:bCs w:val="1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Legutóbbi felülvizsgálat dátuma</w:t>
                </w:r>
                <w:r>
                  <w:rPr>
                    <w:sz w:val="20"/>
                    <w:lang w:val="hu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 : -</w:t>
                </w:r>
              </w:p>
              <w:p>
                <w:pPr>
                  <w:spacing w:line="241" w:lineRule="exact" w:before="4"/>
                  <w:ind w:left="0" w:right="18" w:firstLine="0"/>
                  <w:jc w:val="right"/>
                  <w:rPr>
                    <w:sz w:val="20"/>
                  </w:rPr>
                  <w:bidi w:val="0"/>
                </w:pPr>
                <w:r>
                  <w:rPr>
                    <w:sz w:val="20"/>
                    <w:lang w:val="hu"/>
                    <w:b w:val="1"/>
                    <w:bCs w:val="1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Verzió: </w:t>
                </w:r>
                <w:r>
                  <w:rPr>
                    <w:sz w:val="20"/>
                    <w:lang w:val="hu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1</w:t>
                </w:r>
              </w:p>
              <w:p>
                <w:pPr>
                  <w:pStyle w:val="BodyText"/>
                  <w:spacing w:line="241" w:lineRule="exact"/>
                  <w:ind w:left="0" w:right="18"/>
                  <w:jc w:val="right"/>
                  <w:bidi w:val="0"/>
                </w:pPr>
                <w:r>
                  <w:rPr>
                    <w:lang w:val="hu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fldChar w:fldCharType="begin"/>
                </w:r>
                <w:r>
                  <w:rPr>
                    <w:lang w:val="hu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instrText> PAGE </w:instrText>
                </w:r>
                <w:r>
                  <w:rPr>
                    <w:lang w:val="hu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fldChar w:fldCharType="separate"/>
                </w:r>
                <w:r>
                  <w:rPr>
                    <w:lang w:val="hu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1</w:t>
                </w:r>
                <w:r>
                  <w:rPr>
                    <w:lang w:val="hu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fldChar w:fldCharType="end"/>
                </w:r>
                <w:r>
                  <w:rPr>
                    <w:lang w:val="hu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 / 9 oldal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5">
    <w:multiLevelType w:val="hybridMultilevel"/>
    <w:lvl w:ilvl="0">
      <w:start w:val="16"/>
      <w:numFmt w:val="decimal"/>
      <w:lvlText w:val="%1"/>
      <w:lvlJc w:val="left"/>
      <w:pPr>
        <w:ind w:left="982" w:hanging="851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982" w:hanging="851"/>
        <w:jc w:val="left"/>
      </w:pPr>
      <w:rPr>
        <w:rFonts w:hint="default" w:ascii="Tahoma" w:hAnsi="Tahoma" w:eastAsia="Tahoma" w:cs="Tahoma"/>
        <w:b/>
        <w:bCs/>
        <w:i w:val="0"/>
        <w:iCs w:val="0"/>
        <w:spacing w:val="-2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77" w:hanging="85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25" w:hanging="85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74" w:hanging="85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22" w:hanging="85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71" w:hanging="85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19" w:hanging="85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68" w:hanging="851"/>
      </w:pPr>
      <w:rPr>
        <w:rFonts w:hint="default"/>
        <w:lang w:val="en-US" w:eastAsia="en-US" w:bidi="ar-SA"/>
      </w:rPr>
    </w:lvl>
  </w:abstractNum>
  <w:abstractNum w:abstractNumId="14">
    <w:multiLevelType w:val="hybridMultilevel"/>
    <w:lvl w:ilvl="0">
      <w:start w:val="15"/>
      <w:numFmt w:val="decimal"/>
      <w:lvlText w:val="%1"/>
      <w:lvlJc w:val="left"/>
      <w:pPr>
        <w:ind w:left="131" w:hanging="851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31" w:hanging="851"/>
        <w:jc w:val="left"/>
      </w:pPr>
      <w:rPr>
        <w:rFonts w:hint="default" w:ascii="Tahoma" w:hAnsi="Tahoma" w:eastAsia="Tahoma" w:cs="Tahoma"/>
        <w:b/>
        <w:bCs/>
        <w:i w:val="0"/>
        <w:iCs w:val="0"/>
        <w:spacing w:val="-2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–"/>
      <w:lvlJc w:val="left"/>
      <w:pPr>
        <w:ind w:left="131" w:hanging="180"/>
      </w:pPr>
      <w:rPr>
        <w:rFonts w:hint="default" w:ascii="Tahoma" w:hAnsi="Tahoma" w:eastAsia="Tahoma" w:cs="Tahoma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37" w:hanging="18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70" w:hanging="18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02" w:hanging="18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35" w:hanging="18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67" w:hanging="18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00" w:hanging="180"/>
      </w:pPr>
      <w:rPr>
        <w:rFonts w:hint="default"/>
        <w:lang w:val="en-US" w:eastAsia="en-US" w:bidi="ar-SA"/>
      </w:rPr>
    </w:lvl>
  </w:abstractNum>
  <w:abstractNum w:abstractNumId="13">
    <w:multiLevelType w:val="hybridMultilevel"/>
    <w:lvl w:ilvl="0">
      <w:start w:val="14"/>
      <w:numFmt w:val="decimal"/>
      <w:lvlText w:val="%1"/>
      <w:lvlJc w:val="left"/>
      <w:pPr>
        <w:ind w:left="982" w:hanging="851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982" w:hanging="851"/>
        <w:jc w:val="left"/>
      </w:pPr>
      <w:rPr>
        <w:rFonts w:hint="default" w:ascii="Tahoma" w:hAnsi="Tahoma" w:eastAsia="Tahoma" w:cs="Tahoma"/>
        <w:b/>
        <w:bCs/>
        <w:i w:val="0"/>
        <w:iCs w:val="0"/>
        <w:spacing w:val="-2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77" w:hanging="85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25" w:hanging="85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74" w:hanging="85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22" w:hanging="85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71" w:hanging="85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19" w:hanging="85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68" w:hanging="851"/>
      </w:pPr>
      <w:rPr>
        <w:rFonts w:hint="default"/>
        <w:lang w:val="en-US" w:eastAsia="en-US" w:bidi="ar-SA"/>
      </w:rPr>
    </w:lvl>
  </w:abstractNum>
  <w:abstractNum w:abstractNumId="12">
    <w:multiLevelType w:val="hybridMultilevel"/>
    <w:lvl w:ilvl="0">
      <w:start w:val="13"/>
      <w:numFmt w:val="decimal"/>
      <w:lvlText w:val="%1"/>
      <w:lvlJc w:val="left"/>
      <w:pPr>
        <w:ind w:left="982" w:hanging="851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982" w:hanging="851"/>
        <w:jc w:val="left"/>
      </w:pPr>
      <w:rPr>
        <w:rFonts w:hint="default" w:ascii="Tahoma" w:hAnsi="Tahoma" w:eastAsia="Tahoma" w:cs="Tahoma"/>
        <w:b/>
        <w:bCs/>
        <w:i w:val="0"/>
        <w:iCs w:val="0"/>
        <w:spacing w:val="-2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77" w:hanging="85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25" w:hanging="85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74" w:hanging="85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22" w:hanging="85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71" w:hanging="85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19" w:hanging="85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68" w:hanging="851"/>
      </w:pPr>
      <w:rPr>
        <w:rFonts w:hint="default"/>
        <w:lang w:val="en-US" w:eastAsia="en-US" w:bidi="ar-SA"/>
      </w:rPr>
    </w:lvl>
  </w:abstractNum>
  <w:abstractNum w:abstractNumId="11">
    <w:multiLevelType w:val="hybridMultilevel"/>
    <w:lvl w:ilvl="0">
      <w:start w:val="12"/>
      <w:numFmt w:val="decimal"/>
      <w:lvlText w:val="%1"/>
      <w:lvlJc w:val="left"/>
      <w:pPr>
        <w:ind w:left="982" w:hanging="851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982" w:hanging="851"/>
        <w:jc w:val="left"/>
      </w:pPr>
      <w:rPr>
        <w:rFonts w:hint="default" w:ascii="Tahoma" w:hAnsi="Tahoma" w:eastAsia="Tahoma" w:cs="Tahoma"/>
        <w:b/>
        <w:bCs/>
        <w:i w:val="0"/>
        <w:iCs w:val="0"/>
        <w:spacing w:val="-2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77" w:hanging="85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25" w:hanging="85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74" w:hanging="85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22" w:hanging="85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71" w:hanging="85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19" w:hanging="85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68" w:hanging="851"/>
      </w:pPr>
      <w:rPr>
        <w:rFonts w:hint="default"/>
        <w:lang w:val="en-US" w:eastAsia="en-US" w:bidi="ar-SA"/>
      </w:rPr>
    </w:lvl>
  </w:abstractNum>
  <w:abstractNum w:abstractNumId="10">
    <w:multiLevelType w:val="hybridMultilevel"/>
    <w:lvl w:ilvl="0">
      <w:start w:val="11"/>
      <w:numFmt w:val="decimal"/>
      <w:lvlText w:val="%1"/>
      <w:lvlJc w:val="left"/>
      <w:pPr>
        <w:ind w:left="982" w:hanging="851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982" w:hanging="851"/>
        <w:jc w:val="left"/>
      </w:pPr>
      <w:rPr>
        <w:rFonts w:hint="default" w:ascii="Tahoma" w:hAnsi="Tahoma" w:eastAsia="Tahoma" w:cs="Tahoma"/>
        <w:b/>
        <w:bCs/>
        <w:i w:val="0"/>
        <w:iCs w:val="0"/>
        <w:spacing w:val="-2"/>
        <w:w w:val="100"/>
        <w:sz w:val="20"/>
        <w:szCs w:val="20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887" w:hanging="756"/>
        <w:jc w:val="left"/>
      </w:pPr>
      <w:rPr>
        <w:rFonts w:hint="default" w:ascii="Tahoma" w:hAnsi="Tahoma" w:eastAsia="Tahoma" w:cs="Tahoma"/>
        <w:b/>
        <w:bCs/>
        <w:i w:val="0"/>
        <w:iCs w:val="0"/>
        <w:spacing w:val="-2"/>
        <w:w w:val="100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87" w:hanging="75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41" w:hanging="75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95" w:hanging="75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49" w:hanging="75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03" w:hanging="75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57" w:hanging="756"/>
      </w:pPr>
      <w:rPr>
        <w:rFonts w:hint="default"/>
        <w:lang w:val="en-US" w:eastAsia="en-US" w:bidi="ar-SA"/>
      </w:rPr>
    </w:lvl>
  </w:abstractNum>
  <w:abstractNum w:abstractNumId="9">
    <w:multiLevelType w:val="hybridMultilevel"/>
    <w:lvl w:ilvl="0">
      <w:start w:val="10"/>
      <w:numFmt w:val="decimal"/>
      <w:lvlText w:val="%1"/>
      <w:lvlJc w:val="left"/>
      <w:pPr>
        <w:ind w:left="982" w:hanging="851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982" w:hanging="851"/>
        <w:jc w:val="left"/>
      </w:pPr>
      <w:rPr>
        <w:rFonts w:hint="default" w:ascii="Tahoma" w:hAnsi="Tahoma" w:eastAsia="Tahoma" w:cs="Tahoma"/>
        <w:b/>
        <w:bCs/>
        <w:i w:val="0"/>
        <w:iCs w:val="0"/>
        <w:spacing w:val="-2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77" w:hanging="85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25" w:hanging="85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74" w:hanging="85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22" w:hanging="85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71" w:hanging="85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19" w:hanging="85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68" w:hanging="851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9"/>
      <w:numFmt w:val="decimal"/>
      <w:lvlText w:val="%1"/>
      <w:lvlJc w:val="left"/>
      <w:pPr>
        <w:ind w:left="982" w:hanging="851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982" w:hanging="851"/>
        <w:jc w:val="left"/>
      </w:pPr>
      <w:rPr>
        <w:rFonts w:hint="default" w:ascii="Tahoma" w:hAnsi="Tahoma" w:eastAsia="Tahoma" w:cs="Tahoma"/>
        <w:b/>
        <w:bCs/>
        <w:i w:val="0"/>
        <w:iCs w:val="0"/>
        <w:spacing w:val="-2"/>
        <w:w w:val="100"/>
        <w:sz w:val="20"/>
        <w:szCs w:val="20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759" w:hanging="628"/>
        <w:jc w:val="left"/>
      </w:pPr>
      <w:rPr>
        <w:rFonts w:hint="default" w:ascii="Tahoma" w:hAnsi="Tahoma" w:eastAsia="Tahoma" w:cs="Tahoma"/>
        <w:b/>
        <w:bCs/>
        <w:i w:val="0"/>
        <w:iCs w:val="0"/>
        <w:spacing w:val="-2"/>
        <w:w w:val="100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87" w:hanging="62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41" w:hanging="62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95" w:hanging="62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49" w:hanging="62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03" w:hanging="62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57" w:hanging="628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8"/>
      <w:numFmt w:val="decimal"/>
      <w:lvlText w:val="%1"/>
      <w:lvlJc w:val="left"/>
      <w:pPr>
        <w:ind w:left="982" w:hanging="851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982" w:hanging="851"/>
        <w:jc w:val="left"/>
      </w:pPr>
      <w:rPr>
        <w:rFonts w:hint="default" w:ascii="Tahoma" w:hAnsi="Tahoma" w:eastAsia="Tahoma" w:cs="Tahoma"/>
        <w:b/>
        <w:bCs/>
        <w:i w:val="0"/>
        <w:iCs w:val="0"/>
        <w:spacing w:val="-2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77" w:hanging="85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25" w:hanging="85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74" w:hanging="85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22" w:hanging="85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71" w:hanging="85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19" w:hanging="85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68" w:hanging="851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7"/>
      <w:numFmt w:val="decimal"/>
      <w:lvlText w:val="%1"/>
      <w:lvlJc w:val="left"/>
      <w:pPr>
        <w:ind w:left="982" w:hanging="851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982" w:hanging="851"/>
        <w:jc w:val="left"/>
      </w:pPr>
      <w:rPr>
        <w:rFonts w:hint="default" w:ascii="Tahoma" w:hAnsi="Tahoma" w:eastAsia="Tahoma" w:cs="Tahoma"/>
        <w:b/>
        <w:bCs/>
        <w:i w:val="0"/>
        <w:iCs w:val="0"/>
        <w:spacing w:val="-2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77" w:hanging="85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25" w:hanging="85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74" w:hanging="85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22" w:hanging="85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71" w:hanging="85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19" w:hanging="85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68" w:hanging="851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6"/>
      <w:numFmt w:val="decimal"/>
      <w:lvlText w:val="%1"/>
      <w:lvlJc w:val="left"/>
      <w:pPr>
        <w:ind w:left="982" w:hanging="851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982" w:hanging="851"/>
        <w:jc w:val="left"/>
      </w:pPr>
      <w:rPr>
        <w:rFonts w:hint="default" w:ascii="Tahoma" w:hAnsi="Tahoma" w:eastAsia="Tahoma" w:cs="Tahoma"/>
        <w:b/>
        <w:bCs/>
        <w:i w:val="0"/>
        <w:iCs w:val="0"/>
        <w:spacing w:val="-2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77" w:hanging="85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25" w:hanging="85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74" w:hanging="85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22" w:hanging="85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71" w:hanging="85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19" w:hanging="85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68" w:hanging="851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5"/>
      <w:numFmt w:val="decimal"/>
      <w:lvlText w:val="%1"/>
      <w:lvlJc w:val="left"/>
      <w:pPr>
        <w:ind w:left="982" w:hanging="851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982" w:hanging="851"/>
        <w:jc w:val="left"/>
      </w:pPr>
      <w:rPr>
        <w:rFonts w:hint="default" w:ascii="Tahoma" w:hAnsi="Tahoma" w:eastAsia="Tahoma" w:cs="Tahoma"/>
        <w:b/>
        <w:bCs/>
        <w:i w:val="0"/>
        <w:iCs w:val="0"/>
        <w:spacing w:val="-2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77" w:hanging="85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25" w:hanging="85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74" w:hanging="85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22" w:hanging="85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71" w:hanging="85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19" w:hanging="85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68" w:hanging="851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4"/>
      <w:numFmt w:val="decimal"/>
      <w:lvlText w:val="%1"/>
      <w:lvlJc w:val="left"/>
      <w:pPr>
        <w:ind w:left="851" w:hanging="72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851" w:hanging="720"/>
        <w:jc w:val="left"/>
      </w:pPr>
      <w:rPr>
        <w:rFonts w:hint="default" w:ascii="Tahoma" w:hAnsi="Tahoma" w:eastAsia="Tahoma" w:cs="Tahoma"/>
        <w:b/>
        <w:bCs/>
        <w:i w:val="0"/>
        <w:iCs w:val="0"/>
        <w:spacing w:val="-2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81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41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02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62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23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83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44" w:hanging="720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3"/>
      <w:numFmt w:val="decimal"/>
      <w:lvlText w:val="%1"/>
      <w:lvlJc w:val="left"/>
      <w:pPr>
        <w:ind w:left="921" w:hanging="79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921" w:hanging="790"/>
        <w:jc w:val="left"/>
      </w:pPr>
      <w:rPr>
        <w:rFonts w:hint="default" w:ascii="Tahoma" w:hAnsi="Tahoma" w:eastAsia="Tahoma" w:cs="Tahoma"/>
        <w:b/>
        <w:bCs/>
        <w:i w:val="0"/>
        <w:iCs w:val="0"/>
        <w:spacing w:val="-2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29" w:hanging="79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83" w:hanging="79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38" w:hanging="79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92" w:hanging="79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47" w:hanging="79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01" w:hanging="79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56" w:hanging="79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2"/>
      <w:numFmt w:val="decimal"/>
      <w:lvlText w:val="%1"/>
      <w:lvlJc w:val="left"/>
      <w:pPr>
        <w:ind w:left="851" w:hanging="72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851" w:hanging="720"/>
        <w:jc w:val="left"/>
      </w:pPr>
      <w:rPr>
        <w:rFonts w:hint="default" w:ascii="Tahoma" w:hAnsi="Tahoma" w:eastAsia="Tahoma" w:cs="Tahoma"/>
        <w:b/>
        <w:bCs/>
        <w:i w:val="0"/>
        <w:iCs w:val="0"/>
        <w:spacing w:val="-2"/>
        <w:w w:val="100"/>
        <w:sz w:val="20"/>
        <w:szCs w:val="20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759" w:hanging="628"/>
        <w:jc w:val="left"/>
      </w:pPr>
      <w:rPr>
        <w:rFonts w:hint="default" w:ascii="Tahoma" w:hAnsi="Tahoma" w:eastAsia="Tahoma" w:cs="Tahoma"/>
        <w:b/>
        <w:bCs/>
        <w:i w:val="0"/>
        <w:iCs w:val="0"/>
        <w:spacing w:val="-2"/>
        <w:w w:val="100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94" w:hanging="62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61" w:hanging="62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29" w:hanging="62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96" w:hanging="62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63" w:hanging="62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30" w:hanging="628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851" w:hanging="72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851" w:hanging="720"/>
        <w:jc w:val="left"/>
      </w:pPr>
      <w:rPr>
        <w:rFonts w:hint="default" w:ascii="Tahoma" w:hAnsi="Tahoma" w:eastAsia="Tahoma" w:cs="Tahoma"/>
        <w:b/>
        <w:bCs/>
        <w:i w:val="0"/>
        <w:iCs w:val="0"/>
        <w:spacing w:val="-2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81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41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02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62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23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83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44" w:hanging="720"/>
      </w:pPr>
      <w:rPr>
        <w:rFonts w:hint="default"/>
        <w:lang w:val="en-US" w:eastAsia="en-US" w:bidi="ar-SA"/>
      </w:rPr>
    </w:lvl>
  </w:abstract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131"/>
    </w:pPr>
    <w:rPr>
      <w:rFonts w:ascii="Tahoma" w:hAnsi="Tahoma" w:eastAsia="Tahoma" w:cs="Tahoma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line="241" w:lineRule="exact"/>
      <w:ind w:left="982" w:hanging="852"/>
      <w:outlineLvl w:val="1"/>
    </w:pPr>
    <w:rPr>
      <w:rFonts w:ascii="Tahoma" w:hAnsi="Tahoma" w:eastAsia="Tahoma" w:cs="Tahoma"/>
      <w:b/>
      <w:bCs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77"/>
      <w:ind w:left="3777" w:right="3773"/>
      <w:jc w:val="center"/>
    </w:pPr>
    <w:rPr>
      <w:rFonts w:ascii="Tahoma" w:hAnsi="Tahoma" w:eastAsia="Tahoma" w:cs="Tahoma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line="241" w:lineRule="exact"/>
      <w:ind w:left="982" w:hanging="852"/>
    </w:pPr>
    <w:rPr>
      <w:rFonts w:ascii="Tahoma" w:hAnsi="Tahoma" w:eastAsia="Tahoma" w:cs="Tahoma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line="229" w:lineRule="exact"/>
      <w:ind w:left="71"/>
    </w:pPr>
    <w:rPr>
      <w:rFonts w:ascii="Tahoma" w:hAnsi="Tahoma" w:eastAsia="Tahoma" w:cs="Tahoma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fontTable" Target="fontTable.xml" /><Relationship Id="rId3" Type="http://schemas.openxmlformats.org/officeDocument/2006/relationships/theme" Target="theme/theme1.xml" /><Relationship Id="rId4" Type="http://schemas.openxmlformats.org/officeDocument/2006/relationships/settings" Target="settings.xml" /><Relationship Id="rId5" Type="http://schemas.openxmlformats.org/officeDocument/2006/relationships/header" Target="header1.xml" /><Relationship Id="rId6" Type="http://schemas.openxmlformats.org/officeDocument/2006/relationships/hyperlink" TargetMode="External" Target="mailto:darveks@gmail.com" /><Relationship Id="rId7" Type="http://schemas.openxmlformats.org/officeDocument/2006/relationships/numbering" Target="numbering.xml" 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Cherry.docx</dc:title>
  <dcterms:created xsi:type="dcterms:W3CDTF">2023-02-28T14:27:19Z</dcterms:created>
  <dcterms:modified xsi:type="dcterms:W3CDTF">2023-02-28T14:27:19Z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2022-02-07T00:00:00Z</vt:filetime>
  </property>
  <property fmtid="{D5CDD505-2E9C-101B-9397-08002B2CF9AE}" pid="3" name="Creator">
    <vt:lpwstr>Word</vt:lpwstr>
  </property>
  <property fmtid="{D5CDD505-2E9C-101B-9397-08002B2CF9AE}" pid="4" name="LastSaved">
    <vt:filetime>2023-02-28T00:00:00Z</vt:filetime>
  </property>
  <property fmtid="{D5CDD505-2E9C-101B-9397-08002B2CF9AE}" pid="5" name="Producer">
    <vt:lpwstr>macOS Версия 11.0.1 (Выпуск 20B29) Quartz PDFContext</vt:lpwstr>
  </property>
</Properties>
</file>