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Title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BIZTONSÁGI ADATLAP</w:t>
      </w:r>
    </w:p>
    <w:p>
      <w:pPr>
        <w:pStyle w:val="BodyText"/>
        <w:spacing w:before="3"/>
        <w:ind w:left="0"/>
        <w:rPr>
          <w:b/>
          <w:sz w:val="40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2.884904pt;width:513.12pt;height:.48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ANYAG/KEVERÉK ÉS A VÁLLALAT/VÁLLALKOZÁS AZONOSÍTÁSA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102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TERMÉKAZONOSÍTÓ</w:t>
      </w:r>
    </w:p>
    <w:p>
      <w:pPr>
        <w:spacing w:line="240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Termék neve: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Amszterdam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keverék egyedi formulaazonosítója (UFI):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–.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MEGFELELŐ AZONOSÍTOTT FELHASZNÁLÁSA, ILLETVE ELLENJAVALLT FELHASZNÁLÁSA</w:t>
      </w:r>
    </w:p>
    <w:p>
      <w:pPr>
        <w:spacing w:line="241" w:lineRule="exact" w:before="0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Lényeges azonosított felhasználása: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Alkalmazás: tartós sminkre.</w:t>
      </w:r>
    </w:p>
    <w:p>
      <w:pPr>
        <w:spacing w:before="4"/>
        <w:ind w:left="135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Ellenjavallt felhasználások: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 SZÁLLÍTÓJÁNAK ADATAI</w:t>
      </w: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Gyártó/beszállító: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IP Savina Darya Alekseevna</w:t>
      </w: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Dalnyaya, 39/5, iroda 603, Krasnodar, 350051, Oroszország Tel. sz.: +79891220581</w:t>
      </w:r>
    </w:p>
    <w:p>
      <w:pPr>
        <w:pStyle w:val="BodyText"/>
        <w:spacing w:before="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Weboldal: face-company.com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4" w:right="2742" w:hanging="3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biztonsági adatlapért felelős személy elektronikus levelezési címe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: E-mail: </w:t>
      </w:r>
      <w:hyperlink r:id="rId6">
        <w:r>
          <w:rPr>
            <w:sz w:val="20"/>
            <w:lang w:val="h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darveks@gmail.com</w:t>
        </w:r>
      </w:hyperlink>
    </w:p>
    <w:p>
      <w:pPr>
        <w:pStyle w:val="BodyText"/>
        <w:ind w:left="0"/>
      </w:pPr>
    </w:p>
    <w:p>
      <w:pPr>
        <w:pStyle w:val="Heading1"/>
        <w:numPr>
          <w:ilvl w:val="1"/>
          <w:numId w:val="1"/>
        </w:numPr>
        <w:tabs>
          <w:tab w:pos="851" w:val="left" w:leader="none"/>
          <w:tab w:pos="852" w:val="left" w:leader="none"/>
        </w:tabs>
        <w:spacing w:line="241" w:lineRule="exact" w:before="0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SÜRGŐSSÉGI TELEFONSZÁM</w:t>
      </w:r>
    </w:p>
    <w:p>
      <w:pPr>
        <w:pStyle w:val="BodyText"/>
        <w:spacing w:line="242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(Ausztria) Tel. Tel.: +43 1 406 4343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Antigif Centrum Center Antipoisons (Belgium) Tel. Tel.: +32 070 245 245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Központ, Aktív Gyógykezelési és Sürgősségi Kórház "NIPirogov" (Bulgária) Tel. Tel./ fax: +359 2 9154 233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(Horvátország) Tel. szám: +385 1 234 8342</w:t>
      </w:r>
    </w:p>
    <w:p>
      <w:pPr>
        <w:pStyle w:val="BodyText"/>
        <w:ind w:left="0"/>
      </w:pPr>
    </w:p>
    <w:p>
      <w:pPr>
        <w:pStyle w:val="BodyText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Tájékoztatóközpont (Csehország) Tel.: +420 224 919 293, +420 224 915 402</w:t>
      </w:r>
    </w:p>
    <w:p>
      <w:pPr>
        <w:pStyle w:val="BodyText"/>
        <w:spacing w:before="1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Poison Control Hotline (Dánia) Tel. szám: +45 82 12 12 12</w:t>
      </w:r>
    </w:p>
    <w:p>
      <w:pPr>
        <w:pStyle w:val="BodyText"/>
        <w:ind w:left="0"/>
      </w:pPr>
    </w:p>
    <w:p>
      <w:pPr>
        <w:pStyle w:val="BodyText"/>
        <w:spacing w:line="241" w:lineRule="exact" w:before="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(Észtország)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 szám: +372 794 3794 (vagy 16662 országos)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Információs Központ (Finnország)  Tel.: +358 09 471 977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ORFILA (INERIS) (Franciaország)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 szám: +33 (0) 1 45 42 59 59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Egészségügyi Toxikológiai Információs Szolgálat (Magyarország) Tel.: +36 80 20 11 99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Mérgezési Központ (Izland)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85" w:footer="0" w:top="2300" w:bottom="280" w:left="1020" w:right="420"/>
          <w:pgNumType w:start="1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 szám: +354 543 2222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(Írország)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Tel. szám: +353 (0)1 809 2566 / +353 (0)1 837 9964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Valsts Toksikoloģijas centrs, Saindēšanās un zāļu informācijas centrs (Lettország) Tel.: szám: +371 670 42473</w:t>
      </w:r>
    </w:p>
    <w:p>
      <w:pPr>
        <w:pStyle w:val="BodyText"/>
        <w:ind w:left="0"/>
      </w:pPr>
    </w:p>
    <w:p>
      <w:pPr>
        <w:pStyle w:val="BodyText"/>
        <w:spacing w:before="1"/>
        <w:ind w:right="216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State Medicines Control Agency (Állami Gyóygszerellenőrzési Intézet) (SMCA), Poison Information Bureau (Méregközpont) (PIB) (Litvánia) Tel.: szám: +370 5 236 20 52</w:t>
      </w:r>
    </w:p>
    <w:p>
      <w:pPr>
        <w:pStyle w:val="BodyText"/>
        <w:ind w:left="0"/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Mater Dei Kórház (Málta) Tel. szám: +356 2545 0000</w:t>
      </w:r>
    </w:p>
    <w:p>
      <w:pPr>
        <w:pStyle w:val="BodyText"/>
        <w:spacing w:before="1"/>
        <w:ind w:left="0"/>
      </w:pPr>
    </w:p>
    <w:p>
      <w:pPr>
        <w:pStyle w:val="BodyText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Mérgezési Információs Központ (NVIC) (Hollandia) Tel. szám: +31 (0) 30 274 8888</w:t>
      </w:r>
    </w:p>
    <w:p>
      <w:pPr>
        <w:pStyle w:val="BodyText"/>
        <w:ind w:left="0"/>
      </w:pPr>
    </w:p>
    <w:p>
      <w:pPr>
        <w:pStyle w:val="BodyText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Mentálhigiénés Segélyvonal (Norvégia) Tel. szám: +47 22 59 13 00</w:t>
      </w:r>
    </w:p>
    <w:p>
      <w:pPr>
        <w:pStyle w:val="BodyText"/>
        <w:spacing w:before="1"/>
        <w:ind w:left="0"/>
      </w:pPr>
    </w:p>
    <w:p>
      <w:pPr>
        <w:pStyle w:val="BodyText"/>
        <w:ind w:right="552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Instituto Nacional de Emergência Médica (Portugália) Tel. szám: +351 213 303 271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42" w:lineRule="auto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Biroul RSI si Informare Toxicologica (Románia) Tel. szám: +40 021 318 3606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2" w:lineRule="auto" w:before="1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Országos Toxikológiai Információs Központ (NTIC) (Szlovákia) Tel. sz.: +421 2 5477 4166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ind w:right="689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Toxikológiai Tájékoztató Szolgálat (Spanyolország) Tel.: szám: +34 91 562 04 20</w:t>
      </w:r>
    </w:p>
    <w:p>
      <w:pPr>
        <w:pStyle w:val="BodyText"/>
        <w:spacing w:before="1"/>
        <w:ind w:left="0"/>
      </w:pPr>
    </w:p>
    <w:p>
      <w:pPr>
        <w:pStyle w:val="BodyText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Svéd Méregközpont (Svédország) Tel. szám: +46 08 331231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24888pt;width:513.12pt;height:.4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VESZÉLYESSÉG SZERINTI BESOROLÁS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2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 VAGY KEVERÉK OSZTÁLYOZÁSA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Osztályozás az 1272/2008/EK [CLP] rendelet szerint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61" w:val="left" w:leader="none"/>
        </w:tabs>
        <w:spacing w:line="240" w:lineRule="auto" w:before="0" w:after="0"/>
        <w:ind w:left="760" w:right="0" w:hanging="63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 mondatok, a veszély és az EU figyelmeztető mondatok teljes szövege a 16. részben találhatók.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1" w:lineRule="exact" w:before="0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CÍMKÉZÉSI ELEMEK</w:t>
      </w:r>
    </w:p>
    <w:p>
      <w:pPr>
        <w:pStyle w:val="ListParagraph"/>
        <w:numPr>
          <w:ilvl w:val="2"/>
          <w:numId w:val="2"/>
        </w:numPr>
        <w:tabs>
          <w:tab w:pos="760" w:val="left" w:leader="none"/>
        </w:tabs>
        <w:spacing w:line="241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Címke az 1272/2008/EK rendelet [CLP] szerint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ind w:right="7749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Veszélyességi piktogramok: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Figyelmeztetés: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2"/>
        <w:ind w:right="732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Figyelmeztető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 </w:t>
      </w: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Óvintézkedésre vonatkozó mondatok: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before="1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Kiegészítő címkeinformáció: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Nincs.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71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pStyle w:val="BodyText"/>
        <w:spacing w:before="102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nem felel meg az 1907/2006/EK rendelet szerinti PBT vagy vPvB kritériumoknak.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92pt;width:513.12pt;height:.48pt;mso-position-horizontal-relative:page;mso-position-vertical-relative:paragraph;z-index:-15727616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ÖSSZETÉTEL/ÖSSZETEVŐKRE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101" w:after="0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ANYAGOK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 (a termék keverék).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921" w:val="left" w:leader="none"/>
          <w:tab w:pos="922" w:val="left" w:leader="none"/>
        </w:tabs>
        <w:spacing w:line="240" w:lineRule="auto" w:before="0" w:after="2"/>
        <w:ind w:left="921" w:right="0" w:hanging="79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KEVERÉKEK</w: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858"/>
        <w:gridCol w:w="1234"/>
        <w:gridCol w:w="1114"/>
        <w:gridCol w:w="2328"/>
      </w:tblGrid>
      <w:tr>
        <w:trPr>
          <w:trHeight w:val="393" w:hRule="atLeast"/>
        </w:trPr>
        <w:tc>
          <w:tcPr>
            <w:tcW w:w="196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466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Anyag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677" w:right="666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INCI</w:t>
            </w:r>
          </w:p>
        </w:tc>
        <w:tc>
          <w:tcPr>
            <w:tcW w:w="1234" w:type="dxa"/>
            <w:vMerge w:val="restart"/>
          </w:tcPr>
          <w:p>
            <w:pPr>
              <w:pStyle w:val="TableParagraph"/>
              <w:spacing w:line="240" w:lineRule="auto" w:before="9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222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CAS-szám</w:t>
            </w:r>
          </w:p>
        </w:tc>
        <w:tc>
          <w:tcPr>
            <w:tcW w:w="1114" w:type="dxa"/>
            <w:vMerge w:val="restart"/>
          </w:tcPr>
          <w:p>
            <w:pPr>
              <w:pStyle w:val="TableParagraph"/>
              <w:spacing w:line="240" w:lineRule="auto" w:before="203"/>
              <w:ind w:left="387" w:right="175" w:hanging="197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EK/listaszám</w:t>
            </w: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78"/>
              <w:ind w:left="458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Osztályozás:</w:t>
            </w:r>
          </w:p>
        </w:tc>
      </w:tr>
      <w:tr>
        <w:trPr>
          <w:trHeight w:val="484" w:hRule="atLeast"/>
        </w:trPr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line="240" w:lineRule="auto" w:before="1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Az EK sz.</w:t>
            </w:r>
          </w:p>
          <w:p>
            <w:pPr>
              <w:pStyle w:val="TableParagraph"/>
              <w:spacing w:line="218" w:lineRule="exact" w:before="3"/>
              <w:ind w:left="302" w:right="294"/>
              <w:jc w:val="center"/>
              <w:rPr>
                <w:b/>
                <w:sz w:val="20"/>
              </w:rPr>
              <w:bidi w:val="0"/>
            </w:pPr>
            <w:r>
              <w:rPr>
                <w:sz w:val="20"/>
                <w:lang w:val="h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1272/2008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</w:t>
            </w:r>
          </w:p>
        </w:tc>
        <w:tc>
          <w:tcPr>
            <w:tcW w:w="1858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Aqua</w:t>
            </w:r>
          </w:p>
        </w:tc>
        <w:tc>
          <w:tcPr>
            <w:tcW w:w="1234" w:type="dxa"/>
          </w:tcPr>
          <w:p>
            <w:pPr>
              <w:pStyle w:val="TableParagraph"/>
              <w:spacing w:line="237" w:lineRule="exact" w:before="15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7732-18-5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231-791-2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Glicerol</w:t>
            </w:r>
          </w:p>
        </w:tc>
        <w:tc>
          <w:tcPr>
            <w:tcW w:w="1858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Glicerin</w:t>
            </w:r>
          </w:p>
        </w:tc>
        <w:tc>
          <w:tcPr>
            <w:tcW w:w="1234" w:type="dxa"/>
          </w:tcPr>
          <w:p>
            <w:pPr>
              <w:pStyle w:val="TableParagraph"/>
              <w:spacing w:line="233" w:lineRule="exact" w:before="2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56-81-5</w:t>
            </w:r>
          </w:p>
        </w:tc>
        <w:tc>
          <w:tcPr>
            <w:tcW w:w="1114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200-289-5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3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8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Titán-dioxid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7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77891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13463-67-7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236-675-5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20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Vas vörös-oxid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39" w:lineRule="exact"/>
              <w:rPr>
                <w:rFonts w:ascii="Arial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77491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1309-37-1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215-168-2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Sárga vas-oxid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77492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51274-00-1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257-098</w:t>
            </w:r>
            <w:r>
              <w:rPr>
                <w:rFonts w:ascii="Arial" w:hAnsi="Arial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-5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  <w:tr>
        <w:trPr>
          <w:trHeight w:val="273" w:hRule="atLeast"/>
        </w:trPr>
        <w:tc>
          <w:tcPr>
            <w:tcW w:w="1968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Pigment Red 5</w:t>
            </w:r>
          </w:p>
        </w:tc>
        <w:tc>
          <w:tcPr>
            <w:tcW w:w="1858" w:type="dxa"/>
          </w:tcPr>
          <w:p>
            <w:pPr>
              <w:pStyle w:val="TableParagraph"/>
              <w:spacing w:line="252" w:lineRule="exact" w:before="1"/>
              <w:rPr>
                <w:rFonts w:ascii="Courier New"/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 </w:t>
            </w:r>
            <w:r>
              <w:rPr>
                <w:rFonts w:ascii="Courier New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12490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6410-41-9</w:t>
            </w:r>
          </w:p>
        </w:tc>
        <w:tc>
          <w:tcPr>
            <w:tcW w:w="1114" w:type="dxa"/>
          </w:tcPr>
          <w:p>
            <w:pPr>
              <w:pStyle w:val="TableParagraph"/>
              <w:ind w:left="70"/>
              <w:rPr>
                <w:rFonts w:ascii="Arial"/>
                <w:sz w:val="20"/>
              </w:rPr>
              <w:bidi w:val="0"/>
            </w:pPr>
            <w:r>
              <w:rPr>
                <w:rFonts w:ascii="Arial" w:hAnsi="Arial"/>
                <w:color w:val="212529"/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229-107-2</w:t>
            </w:r>
          </w:p>
        </w:tc>
        <w:tc>
          <w:tcPr>
            <w:tcW w:w="2328" w:type="dxa"/>
          </w:tcPr>
          <w:p>
            <w:pPr>
              <w:pStyle w:val="TableParagraph"/>
              <w:spacing w:line="237" w:lineRule="exact" w:before="15"/>
              <w:ind w:left="70"/>
              <w:rPr>
                <w:sz w:val="20"/>
              </w:rPr>
              <w:bidi w:val="0"/>
            </w:pPr>
            <w:r>
              <w:rPr>
                <w:sz w:val="20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Nem minősített.</w:t>
            </w:r>
          </w:p>
        </w:tc>
      </w:tr>
    </w:tbl>
    <w:p>
      <w:pPr>
        <w:spacing w:before="2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További 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H-mondatok teljes szövegét lásd a 16. szakaszban.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9pt;width:513.12pt;height:.48pt;mso-position-horizontal-relative:page;mso-position-vertical-relative:paragraph;z-index:-15727104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ELSŐSEGÉLY-NYÚJTÁSI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4"/>
        </w:numPr>
        <w:tabs>
          <w:tab w:pos="851" w:val="left" w:leader="none"/>
          <w:tab w:pos="852" w:val="left" w:leader="none"/>
        </w:tabs>
        <w:spacing w:line="241" w:lineRule="exact" w:before="101" w:after="0"/>
        <w:ind w:left="851" w:right="0" w:hanging="721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ELSŐSEGÉLY-NYÚJTÁSI INTÉZKEDÉSEK ISMERTETÉSE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információk.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Ha bármilyen kellemetlen érzés jelentkezik, forduljon orvoshoz.</w:t>
      </w:r>
    </w:p>
    <w:p>
      <w:pPr>
        <w:pStyle w:val="BodyTex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Ha a termék bőrre került.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Kérjen orvosi ellátást, ha tartós irritáció alakul ki. A bőrt le kell öblíteni vízzel/zuhanyozás.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Szembe jutás.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Azonnal mossa ki a szemet bő vízzel. Azonnal forduljon orvoshoz, ha az irritáció folytatódik.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Belélegzést követően.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sérültet vigye friss levegőre. Tünetek kialakulása vagy fennállása esetén hívjon orvost.</w:t>
      </w:r>
    </w:p>
    <w:p>
      <w:pPr>
        <w:pStyle w:val="BodyText"/>
        <w:spacing w:before="4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Lenyelés.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szájat ki kell öblíteni. Nagy mennyiségű lenyelés esetén azonnal hívja a mérgezési központot.</w:t>
      </w:r>
    </w:p>
    <w:p>
      <w:pPr>
        <w:spacing w:line="239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Elsősegélyt nyújtók védelme: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Saját biztonságukról való gondoskodás.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57" w:val="left" w:leader="none"/>
          <w:tab w:pos="958" w:val="left" w:leader="none"/>
        </w:tabs>
        <w:spacing w:line="241" w:lineRule="exact" w:before="1" w:after="0"/>
        <w:ind w:left="958" w:right="0" w:hanging="827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LEGFONTOSABB – AKUT ÉS KÉSLELTETETT – TÜNETEK ÉS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4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SZÜKSÉGES AZONNALI ORVOSI ELLÁTÁS ÉS KÜLÖNLEGES ELLÁTÁS JELZÉSE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Tüneti kezelést igényel. Mérgezés gyanúja esetén haladéktalanul fordulni kell az Országos Mérgezési Információs Központhoz, a segélyhívó telefonszámot lásd az 1.4. pontban.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35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13.124886pt;width:513.12pt;height:.48pt;mso-position-horizontal-relative:page;mso-position-vertical-relative:paragraph;z-index:-15726592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TŰZVÉDELMI INTÉZKEDÉSEK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spacing w:before="10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tűzveszély.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Tisztítsa meg a tűzterületet minden nem sürgősségi személyzettől.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OLTÓANYAGOK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A megfelelő oltóanyag.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Vízpermet, hab, száraz vegyszer vagy szén-dioxid (CO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single"/>
          <w:vertAlign w:val="baseline"/>
          <w:rtl w:val="0"/>
        </w:rPr>
        <w:t xml:space="preserve">Nem alkalmazható oltóanyagok.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használjon oltóanyagként vízsugarat, ez ugyanis a tűz további terjedését okozza.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ANYAGBÓL VAGY A KEVERÉKBŐL SZÁRMAZÓ KÜLÖNLEGES VESZÉLYEK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bomlása során szén-monoxid, szén-dioxid és egyéb anyagok szabadulnak fel.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5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TŰZOLTÓKNAK SZÓLÓ JAVASLAT</w:t>
      </w:r>
    </w:p>
    <w:p>
      <w:pPr>
        <w:spacing w:after="0" w:line="240" w:lineRule="auto"/>
        <w:jc w:val="lef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b/>
          <w:sz w:val="13"/>
        </w:rPr>
      </w:pPr>
    </w:p>
    <w:p>
      <w:pPr>
        <w:spacing w:before="102"/>
        <w:ind w:left="131" w:right="125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védőfelszerelés a tűzoltók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tűzoltóknak önálló légzőkészüléket és megfelelő védőruházatot kell viselniük, ha fennáll a bomlástermékekkel való érintkezés veszélye.</w:t>
      </w:r>
    </w:p>
    <w:p>
      <w:pPr>
        <w:pStyle w:val="BodyText"/>
        <w:ind w:right="125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Különleges tűzoltási eljárások.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 lélegezze be a tűz által kibocsátott anyagokat. Vigye el a tartályokat a tűz területétől, ha ez kockázat nélkül megtehető. A bontatlan tartályokat vízköddel hűtse. A megfelelő mennyiségű vizet öntő hűtőtartályok és a tűz kialszik. Meg kell akadályozni, hogy az anyag a vízelvezető rendszerbe, felszíni vizekbe kerüljön.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901pt;width:513.12pt;height:.48pt;mso-position-horizontal-relative:page;mso-position-vertical-relative:paragraph;z-index:-15726080;mso-wrap-distance-left:0;mso-wrap-distance-right:0" id="docshape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INTÉZKEDÉSEK VÉLETLENSZERŰ EXPOZÍCIÓNÁL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SZEMÉLYI ÓVINTÉZKEDÉSEK, EGYÉNI VÉDŐESZKÖZÖK ÉS VÉSZHELYZETI ELJÁRÁSOK</w:t>
      </w: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személyzettől eltérő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Takarítás közben viseljen megfelelő védőfelszerelést és védőruházatot.</w:t>
      </w:r>
    </w:p>
    <w:p>
      <w:pPr>
        <w:spacing w:line="242" w:lineRule="auto" w:before="0"/>
        <w:ind w:left="131" w:right="82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sürgősségi ellátást nyújtó személyzet számára.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Tartsa távol a szükségtelen személyzetet. Használja a biztonsági adatlap 8. szakaszában javasolt személyi védelmet.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KÖRNYEZETVÉDELMI ÓVINTÉZKEDÉSEK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Kerülje el a talaj és a víz szennyeződését. Amennyiben biztonságosan megoldható, gondoskodjon a további szivárgás és kiömlés megakadályozásáról.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TERÜLETI ELHATÁROLÁS ÉS A SZENNYEZÉSMENTESÍTÉS MÓDSZEREI ÉS ANYAGAI</w:t>
      </w:r>
    </w:p>
    <w:p>
      <w:pPr>
        <w:pStyle w:val="BodyText"/>
        <w:spacing w:line="242" w:lineRule="auto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Megakadályozza a gőzfelhőt. Amennyiben biztonságosan megoldható, gondoskodjon a további szivárgás és kiömlés megakadályozásáról. Söpörje fel és lapátolja be a megfelelő tartályokba ártalmatlanításhoz. A megsemmisítés a helyi előírásoknak megfelelően történjen.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1"/>
        <w:numPr>
          <w:ilvl w:val="1"/>
          <w:numId w:val="6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HIVATKOZÁS MÁS SZAKASZOKRA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személyi védelemmel kapcsolatban lásd a 8. szakaszt. A hulladékkezeléssel kapcsolatban lásd a 13. fejezetet.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34897pt;width:513.12pt;height:.48pt;mso-position-horizontal-relative:page;mso-position-vertical-relative:paragraph;z-index:-15725568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7.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KEZELÉS ÉS TÁROLÁS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KEZELÉSRE IRÁNYULÓ ÓVINTÉZKEDÉSEK</w:t>
      </w:r>
    </w:p>
    <w:p>
      <w:pPr>
        <w:pStyle w:val="BodyText"/>
        <w:spacing w:before="4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Biztonságos kezelésre irányuló tanácsok.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megfelelő egyéni védőfelszerelést (lásd 8. szakasz). Bőrre és szembe ne kerüljön. Tilos az étkezés, ivás és a dohányzás azokon a helyeken, ahol az anyag kezelése, tárolása és feldolgozása történik. Evés, ivás vagy dohányzás előtt az érintett munkatársaknak kezet kell mosniuk. Az étkezésre szolgáló területekre való belépés előtt távolítsa el a szennyezett ruházatot és védőeszközöket. A higiéniai intézkedésekre vonatkozó további információért lásd a 8. pontot is.</w:t>
      </w:r>
    </w:p>
    <w:p>
      <w:pPr>
        <w:spacing w:line="239" w:lineRule="exact" w:before="0"/>
        <w:ind w:left="131" w:right="0" w:firstLine="0"/>
        <w:jc w:val="both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Tűz- és robbanásveszély elleni tanácsok.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Hőtől távol tartandó. Gyújtóforrástól távol tartandó.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BIZTONSÁGOS TÁROLÁS FELTÉTELEI, AZ ESETLEGES ÖSSZEFÉRHETETLENSÉGGEL EGYÜTT</w:t>
      </w:r>
    </w:p>
    <w:p>
      <w:pPr>
        <w:pStyle w:val="BodyText"/>
        <w:ind w:right="1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tartályokat használaton kívül tartsa lezárva. Ne tárolja közvetlen napfényben. Tárolja környezeti hőmérsékleten és légköri nyomáson.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MEGHATÁROZOTT VÉGFELHASZNÁLÁS (VÉGFELHASZNÁLÁSOK)</w:t>
      </w:r>
    </w:p>
    <w:p>
      <w:pPr>
        <w:pStyle w:val="BodyText"/>
        <w:spacing w:line="241" w:lineRule="exact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Kozmetikai használatra.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both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81pt;width:513.12pt;height:.48pt;mso-position-horizontal-relative:page;mso-position-vertical-relative:paragraph;z-index:-15725056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8.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ELLENŐRZÉSE/EGYÉNI VÉDELEM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KONTROL PARAMÉTEREK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Foglalkozási expozíciós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összetevő(k)re nincsenek megjelölve foglalkozási expozíciós határértékek.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Biológiai határértékek.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alkotóelemeket illetően nincsenek meghatározott biológiai expozíciós határértékek.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Ajánlott ellenőrzési eljárások.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Kövesse a szabványos ellenőrzési eljárásokat.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EXPOZÍCIÓ ELLENŐRZÉSE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munkahelyen enni, inni, dohányozni tilos. Mosson kezet a szünetek előtt és a munkanap végén.</w:t>
      </w:r>
    </w:p>
    <w:p>
      <w:pPr>
        <w:pStyle w:val="Heading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MEGFELELŐ MŰSZAKI ÓVINTÉZKEDÉSEK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Gondoskodjon megfelelő általános és helyi légelszívó berendezésekről.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Heading1"/>
        <w:spacing w:before="102"/>
        <w:ind w:left="131" w:firstLine="0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EGYÉNI ÓVINTÉZKEDÉSEK, ÚGY MINT AZ EGYÉNI VÉDŐESZKÖZÖK</w:t>
      </w:r>
    </w:p>
    <w:p>
      <w:pPr>
        <w:pStyle w:val="BodyText"/>
        <w:ind w:right="123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Általános információ.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előírt személyi védőfelszerelés használata kötelező. Tárolja elkülönítve a munkaruházatot. Az egyéni védőfelszerelést a CEN szabványoknak megfelelően és az egyéni védőeszköz szállítójával egyeztetve kell kiválasztani.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Szem-/arcvédelem.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az EN 166 szabvány által előírt védőszemüveget.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Bőrvédelem.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védőruházatot.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Kéz védelme.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Viseljen védőkesztyűt (EN 374).</w:t>
      </w:r>
    </w:p>
    <w:p>
      <w:pPr>
        <w:pStyle w:val="BodyText"/>
        <w:spacing w:before="3"/>
        <w:ind w:right="121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Légutak védelme.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általános szellőzés általában megfelelő. Nem megfelelő szellőzés vagy a gőzök belélegzésének veszélye esetén megfelelő légzőkészüléket (légzőmaszk) kell használni. Kérjen tanácsot a helyi felügyelőtől (EN 149). </w:t>
      </w: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Hőveszélyek.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Nem vonatkozik.</w:t>
      </w:r>
    </w:p>
    <w:p>
      <w:pPr>
        <w:pStyle w:val="BodyText"/>
        <w:spacing w:before="1"/>
        <w:ind w:right="124"/>
        <w:jc w:val="both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Higiéniai intézkedések.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Kezelje az anyagot a megfelelő ipari higiéniai és biztonsági gyakorlatnak megfelelően. Szemmosókút és vészzuhany használata javasolt. A szennyezett ruhát újbóli használat előtt ki kell mosni.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numPr>
          <w:ilvl w:val="1"/>
          <w:numId w:val="8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KÖRNYEZETVÉDELMET SZOLGÁLÓ SZABÁLYOZÁSOK</w:t>
      </w:r>
    </w:p>
    <w:p>
      <w:pPr>
        <w:pStyle w:val="BodyText"/>
        <w:spacing w:before="3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kiömléseket meg kell akadályozni, és a kibocsátást meg kell akadályozni, és be kell tartani a nemzeti kibocsátási előírásokat.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9pt;width:513.12pt;height:.48pt;mso-position-horizontal-relative:page;mso-position-vertical-relative:paragraph;z-index:-15724544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9.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FIZIKAI ÉS KÉMIAI TULAJDONSÁGOK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ALAPVETŐ FIZIKAI ÉS KÉMIAI TULAJDONSÁGOKRA VONATKOZÓ INFORMÁCIÓ</w:t>
      </w:r>
    </w:p>
    <w:p>
      <w:pPr>
        <w:pStyle w:val="BodyText"/>
        <w:tabs>
          <w:tab w:pos="4019" w:val="left" w:leader="none"/>
        </w:tabs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FIZIKAI ÁLLAPOT: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Homogén folyékony szuszpenzió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SZÍN: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SZAG: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Semleges</w:t>
      </w:r>
    </w:p>
    <w:p>
      <w:pPr>
        <w:pStyle w:val="BodyText"/>
        <w:tabs>
          <w:tab w:pos="4019" w:val="left" w:leader="none"/>
        </w:tabs>
        <w:spacing w:before="3"/>
        <w:ind w:right="492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OLVADÁSPONT/FAGYÁSPONT: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 FORRÁSPONT VAGY KEZDETI FORRÁS</w:t>
      </w:r>
    </w:p>
    <w:p>
      <w:pPr>
        <w:pStyle w:val="BodyText"/>
        <w:tabs>
          <w:tab w:pos="4019" w:val="left" w:leader="none"/>
        </w:tabs>
        <w:ind w:right="4920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PONT ÉS FORRÁSI TARTOMÁNY: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GYÚLÉKONYSÁG (SZILÁRD, FOLYÉKONY, GÁZ): Nincs elérhető adat GYAKORLATI PONT: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ÖNGYÚJTÁSI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állnak rendelkezésre adatok BOMLÁSI HŐMÉRSÉKLET: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 pH: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5,0-7,0</w:t>
      </w:r>
    </w:p>
    <w:p>
      <w:pPr>
        <w:pStyle w:val="BodyText"/>
        <w:tabs>
          <w:tab w:pos="4638" w:val="righ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VISZKOZITÁS: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70-200</w:t>
      </w:r>
    </w:p>
    <w:p>
      <w:pPr>
        <w:pStyle w:val="BodyText"/>
        <w:tabs>
          <w:tab w:pos="4019" w:val="left" w:leader="none"/>
        </w:tabs>
        <w:spacing w:line="242" w:lineRule="auto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OLDÉKONYSÁG: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Vízben részben oldható MEGOSZLÁSI HÁNYADOS</w:t>
      </w:r>
    </w:p>
    <w:p>
      <w:pPr>
        <w:pStyle w:val="BodyText"/>
        <w:tabs>
          <w:tab w:pos="4019" w:val="left" w:leader="none"/>
        </w:tabs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(N-OKTANOL/VÍZ):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ind w:right="4917"/>
        <w:rPr>
          <w:sz w:val="13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GŐZNYOMÁS: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 SŰRŰSÉG ÉS/VAGY RELATÍV 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1100-1500 g/cm</w:t>
      </w:r>
      <w:r>
        <w:rPr>
          <w:sz w:val="13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RELATÍV GŐZSŰRŰSÉG: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elérhető adat</w:t>
      </w:r>
    </w:p>
    <w:p>
      <w:pPr>
        <w:pStyle w:val="BodyText"/>
        <w:tabs>
          <w:tab w:pos="4019" w:val="left" w:leader="none"/>
        </w:tabs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ROBBANÁSVESZÉLYI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robbanásveszélyes</w:t>
      </w:r>
    </w:p>
    <w:p>
      <w:pPr>
        <w:pStyle w:val="BodyText"/>
        <w:tabs>
          <w:tab w:pos="4019" w:val="left" w:leader="none"/>
        </w:tabs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OXIDÁLÓ TULAJDONSÁGOK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tabs>
          <w:tab w:pos="4019" w:val="left" w:leader="none"/>
        </w:tabs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RÉSZÉK JELLEMZŐI: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alkalmazható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1" w:lineRule="exact" w:before="3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fizikai veszélyességi osztályokra vonatkozó információk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9"/>
        </w:numPr>
        <w:tabs>
          <w:tab w:pos="760" w:val="left" w:leader="none"/>
        </w:tabs>
        <w:spacing w:line="240" w:lineRule="exact" w:before="0" w:after="0"/>
        <w:ind w:left="759" w:right="0" w:hanging="629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biztonsági jellemzők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86pt;width:513.12pt;height:.48pt;mso-position-horizontal-relative:page;mso-position-vertical-relative:paragraph;z-index:-15724032;mso-wrap-distance-left:0;mso-wrap-distance-right:0" id="docshape13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10.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STABILITÁS ÉS REAKCIÓKÉSZSÉG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REAKCIÓKÉSZSÉG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 normál használati, tárolási és szállítási körülmények között nem reaktív.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STABILITÁS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Normál körülmények között stabil.</w:t>
      </w:r>
    </w:p>
    <w:p>
      <w:pPr>
        <w:spacing w:after="0" w:line="241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 REAKCIÓK LEHETŐSÉGE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további információ.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KERÜLENDŐ KÖRÜLMÉNYEK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Magas hőmérséklet és gyújtóforrások.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NEM ÖSSZEFÉRHETŐ ANYAGOK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0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VESZÉLYES BOMLÁSTERMÉKEK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Veszélyes füstöket képezhet, mint például szén-monoxid, szén-dioxid stb.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8486pt;width:513.12pt;height:.48pt;mso-position-horizontal-relative:page;mso-position-vertical-relative:paragraph;z-index:-15723520;mso-wrap-distance-left:0;mso-wrap-distance-right:0" id="docshape14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11.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TOXIKOLÓGIAI INFORMÁCIÓ</w:t>
      </w:r>
    </w:p>
    <w:p>
      <w:pPr>
        <w:pStyle w:val="BodyText"/>
        <w:spacing w:before="11"/>
        <w:ind w:left="0"/>
        <w:rPr>
          <w:b/>
          <w:sz w:val="11"/>
        </w:rPr>
      </w:pPr>
    </w:p>
    <w:p>
      <w:pPr>
        <w:pStyle w:val="ListParagraph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1" w:lineRule="exact" w:before="102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1272/2008/EK rendeletben meghatározott veszélyességi osztályokra vonatkozó információk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Akut toxicitás: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 w:before="4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27200 mg/kg (patkány);</w:t>
      </w:r>
    </w:p>
    <w:p>
      <w:pPr>
        <w:pStyle w:val="BodyText"/>
        <w:spacing w:line="242" w:lineRule="auto"/>
        <w:ind w:right="433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5850 mg/l/4 óra (aeroszol) (patkány); Akut dermális toxicitás: LD50 – 45 ml/kg/24h (tengerimalac).</w: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orális toxicitás: LD50 – &gt;10000 mg/kg (patkány);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Akut belégzési toxicitás: LC50 – 5,05 mg/l/4h (aeroszol) (patkány).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Bőrkorrózió/bőrirritáció.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Súlyos szemsérülés/szemirritáció.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Légzőszervi vagy bőrszenzibilizáció.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1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Csírasejt-mutagenitás.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spacing w:line="240" w:lineRule="auto" w:before="3"/>
        <w:ind w:left="131" w:right="6334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Rákkeltő hatás.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Reproduciós toxicitás.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egyszeri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STOT – ismétlődő expozíció.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Aspirációs veszély.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minősített.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VESZÉLYEKRE VONATKOZÓ INFORMÁCIÓ</w:t>
      </w:r>
    </w:p>
    <w:p>
      <w:pPr>
        <w:pStyle w:val="ListParagraph"/>
        <w:numPr>
          <w:ilvl w:val="2"/>
          <w:numId w:val="11"/>
        </w:numPr>
        <w:tabs>
          <w:tab w:pos="887" w:val="left" w:leader="none"/>
        </w:tabs>
        <w:spacing w:line="241" w:lineRule="exact" w:before="3" w:after="0"/>
        <w:ind w:left="887" w:right="0" w:hanging="756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Endokrinkárosító tulajdonságok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2"/>
          <w:numId w:val="11"/>
        </w:numPr>
        <w:tabs>
          <w:tab w:pos="888" w:val="left" w:leader="none"/>
        </w:tabs>
        <w:spacing w:line="241" w:lineRule="exact" w:before="0" w:after="0"/>
        <w:ind w:left="887" w:right="0" w:hanging="757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ind w:left="0"/>
        <w:rPr>
          <w:sz w:val="24"/>
        </w:rPr>
      </w:pPr>
    </w:p>
    <w:p>
      <w:pPr>
        <w:spacing w:before="189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574884pt;width:513.12pt;height:.48pt;mso-position-horizontal-relative:page;mso-position-vertical-relative:paragraph;z-index:-15723008;mso-wrap-distance-left:0;mso-wrap-distance-right:0" id="docshape15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12.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 ÖKOLÓGIAI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TOXICITÁS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termékre vonatkozó adatok nem állnak rendelkezésre.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Összetevőkkel kapcsolatos adatok: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Glicerin, CAS-szám: 106-50-3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>
      <w:pPr>
        <w:pStyle w:val="BodyText"/>
        <w:spacing w:line="241" w:lineRule="exact"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halakhoz: 885 mg/l/96 óra (Salmo gairdneri);</w:t>
      </w:r>
    </w:p>
    <w:p>
      <w:pPr>
        <w:pStyle w:val="BodyText"/>
        <w:ind w:right="4289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tengeri halakhoz: 885 mg/l/96h (Cyprinodon variegatus); NOEC: 9471,097 mg/l/30 nap;</w:t>
      </w:r>
    </w:p>
    <w:p>
      <w:pPr>
        <w:spacing w:after="0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gerinctelenekre: 1955 mg/l/48 óra (Daphnia magna); Édesvízi algák EC50: 2900 mg/l/8d (Scenedesmus quadricauda).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1" w:lineRule="exact" w:before="192"/>
        <w:bidi w:val="0"/>
      </w:pPr>
      <w:r>
        <w:rPr>
          <w:lang w:val="hu"/>
          <w:b w:val="0"/>
          <w:bCs w:val="0"/>
          <w:i w:val="0"/>
          <w:iCs w:val="0"/>
          <w:u w:val="single"/>
          <w:vertAlign w:val="baseline"/>
          <w:rtl w:val="0"/>
        </w:rPr>
        <w:t xml:space="preserve">Vas(III)-oxid, CAS-szám: 1309-37-1: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LC50 édesvízi halak esetében: ≥50000 mg/l/96h (Danio rerio);</w:t>
      </w:r>
    </w:p>
    <w:p>
      <w:pPr>
        <w:pStyle w:val="BodyText"/>
        <w:spacing w:line="242" w:lineRule="auto"/>
        <w:ind w:right="381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édesvízi gerincteleneknél: &gt;100 mg/l/48h (Daphnia magna); NOEC: ≥20 mg/l/21 nap (Daphnia magna);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Édesvízi algák EC50 értéke: &gt;20 mg/l/72h (Pseudokirchneriella subcapitata).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LEBOMLÁS ÉS MEGMARADÁS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BIOAKKUMULÁCIÓS KÉPESSÉG</w:t>
      </w:r>
    </w:p>
    <w:p>
      <w:pPr>
        <w:pStyle w:val="BodyText"/>
        <w:spacing w:before="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TALAJBAN VALÓ MOBILITÁS</w:t>
      </w:r>
    </w:p>
    <w:p>
      <w:pPr>
        <w:spacing w:before="3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Mobilitás.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PBT ÉS vPvB ÉRTÉKELÉS EREDMÉNYEI</w:t>
      </w:r>
    </w:p>
    <w:p>
      <w:pPr>
        <w:pStyle w:val="BodyText"/>
        <w:spacing w:before="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PBT vagy vPvB anyag, illetve keverék.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ENDOKRINOLÓGIAILAG KÁROSÍTÓ TULAJDONSÁGOK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áll rendelkezésre adat.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2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KÁROS HATÁSOK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Jelentős hatás vagy kritikus veszélyt okozó hatás nem ismert.</w:t>
      </w:r>
    </w:p>
    <w:p>
      <w:pPr>
        <w:pStyle w:val="BodyText"/>
        <w:ind w:left="0"/>
        <w:rPr>
          <w:sz w:val="24"/>
        </w:rPr>
      </w:pPr>
    </w:p>
    <w:p>
      <w:pPr>
        <w:spacing w:before="194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824869pt;width:513.12pt;height:.48pt;mso-position-horizontal-relative:page;mso-position-vertical-relative:paragraph;z-index:-15722496;mso-wrap-distance-left:0;mso-wrap-distance-right:0" id="docshape16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13.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SZEMPONTOK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3"/>
        </w:numPr>
        <w:tabs>
          <w:tab w:pos="982" w:val="left" w:leader="none"/>
          <w:tab w:pos="983" w:val="left" w:leader="none"/>
        </w:tabs>
        <w:spacing w:line="240" w:lineRule="auto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HULLADÉKKEZELÉSI MÓDSZEREK</w:t>
      </w:r>
    </w:p>
    <w:p>
      <w:pPr>
        <w:pStyle w:val="BodyText"/>
        <w:spacing w:before="2"/>
        <w:ind w:left="0"/>
        <w:rPr>
          <w:b/>
        </w:rPr>
      </w:pPr>
    </w:p>
    <w:p>
      <w:pPr>
        <w:pStyle w:val="BodyText"/>
        <w:spacing w:line="241" w:lineRule="exac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Maradék hulladék. </w:t>
      </w: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tartalom/tartály ártalmatlanítása a helyi/regionális/nemzeti/nemzetközi előírásoknak megfelelően.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Szennyezett csomagolás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0" w:lineRule="exact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EU hulladékkód.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 adat.</w:t>
      </w:r>
    </w:p>
    <w:p>
      <w:pPr>
        <w:spacing w:line="242" w:lineRule="auto"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Ártalmatlanítási módszerek/információk.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ártalmatlanítás előtt tekintse át a szövetségi, állami/tartományi és helyi önkormányzati követelményeket.</w:t>
      </w:r>
    </w:p>
    <w:p>
      <w:pPr>
        <w:pStyle w:val="BodyText"/>
        <w:ind w:left="0"/>
        <w:rPr>
          <w:sz w:val="24"/>
        </w:rPr>
      </w:pPr>
    </w:p>
    <w:p>
      <w:pPr>
        <w:spacing w:before="192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48489pt;width:513.12pt;height:.48pt;mso-position-horizontal-relative:page;mso-position-vertical-relative:paragraph;z-index:-15721984;mso-wrap-distance-left:0;mso-wrap-distance-right:0" id="docshape17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14.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SZÁLLÍTÁSRA VONATKOZÓ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BodyText"/>
        <w:spacing w:line="242" w:lineRule="auto" w:before="101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Szállítás csak az ADR -nek megfelelően a közúti szállításhoz, a vasúti szállításhoz, az ADNR/IMDG pedig hajón/tengeren és IATA -hoz történő szállításhoz.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UN-szám vagy azonosító szám.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4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ENSZ szerinti megfelelő szállítási megnevezés.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Szállítási veszélyességi osztály(ok).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Csomagolási csoport.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1" w:lineRule="exact" w:before="3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veszélyek.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125" w:hanging="851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felhasználót érintő különleges óvintézkedések.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Használat előtt olvassa el a biztonsági adatlap biztonsági utasításait és a vészhelyzeti eljárásokat.</w:t>
      </w:r>
    </w:p>
    <w:p>
      <w:pPr>
        <w:pStyle w:val="ListParagraph"/>
        <w:numPr>
          <w:ilvl w:val="1"/>
          <w:numId w:val="14"/>
        </w:numPr>
        <w:tabs>
          <w:tab w:pos="982" w:val="left" w:leader="none"/>
          <w:tab w:pos="983" w:val="left" w:leader="none"/>
        </w:tabs>
        <w:spacing w:line="239" w:lineRule="exact" w:before="0" w:after="0"/>
        <w:ind w:left="982" w:right="0" w:hanging="852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IMO-szabályok szerinti tengeri ömlesztett szállítás.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Nem vonatkozik.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103159pt;width:513.12pt;height:.48pt;mso-position-horizontal-relative:page;mso-position-vertical-relative:paragraph;z-index:-15721472;mso-wrap-distance-left:0;mso-wrap-distance-right:0" id="docshape18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15.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SZABÁLYOZÁSSAL KAPCSOLATOS INFORMÁCIÓK</w:t>
      </w:r>
    </w:p>
    <w:p>
      <w:pPr>
        <w:spacing w:after="0"/>
        <w:jc w:val="left"/>
        <w:rPr>
          <w:sz w:val="20"/>
        </w:rPr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22"/>
        </w:rPr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0" w:lineRule="auto" w:before="0" w:after="0"/>
        <w:ind w:left="131" w:right="125" w:firstLine="0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AZ ADOTT ANYAGGAL VAGY KEVERÉKKEL KAPCSOLATOS BIZTONSÁGI, EGÉSZSÉGÜGYI ÉS KÖRNYEZETVÉDELMI ELŐÍRÁSOK/JOGSZABÁLYOK</w:t>
      </w:r>
    </w:p>
    <w:p>
      <w:pPr>
        <w:pStyle w:val="ListParagraph"/>
        <w:numPr>
          <w:ilvl w:val="2"/>
          <w:numId w:val="15"/>
        </w:numPr>
        <w:tabs>
          <w:tab w:pos="312" w:val="left" w:leader="none"/>
        </w:tabs>
        <w:spacing w:line="240" w:lineRule="auto" w:before="2" w:after="0"/>
        <w:ind w:left="131" w:right="121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1907/2006/EK rendelete (2006. december 18.) a vegyi anyagok regisztrálásáról, értékeléséről, engedélyezéséről és korlátozásáról (REACH), az Európai Vegyianyag-ügynökség létrehozásáról, az 1999/45/EK irányelv módosításáról, ill. a 793/93/EGK tanácsi rendelet, az 1488/94/EK bizottsági rendelet, a 76/769/EGK tanácsi irányelv és a 91/155/EGK, 93/67/EGK, 93/105/EK bizottsági irányelvek hatályon kívül helyezéséről és 2000/21/EK (az Európai Unió Hivatalos Lapja L 396. szám, 2006.12.30., hibajavítás – L 136/3. szám, 2007-5-29);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4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2020/878 RENDELETE (2020. június 18.) a vegyi anyagok regisztrálásáról, értékeléséről, engedélyezéséről és korlátozásáról szóló 1907/2006/EK európai parlamenti és tanácsi rendelet (REACH) módosításáról (HL L 203., 6.26.) .2020, 28–58.);</w:t>
      </w:r>
    </w:p>
    <w:p>
      <w:pPr>
        <w:pStyle w:val="ListParagraph"/>
        <w:numPr>
          <w:ilvl w:val="2"/>
          <w:numId w:val="15"/>
        </w:numPr>
        <w:tabs>
          <w:tab w:pos="329" w:val="left" w:leader="none"/>
        </w:tabs>
        <w:spacing w:line="240" w:lineRule="auto" w:before="0" w:after="0"/>
        <w:ind w:left="131" w:right="122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2008. december 16-án aláírták az Európai Parlament és a Tanács 1272/2008/EK rendeletét a vegyi anyagok és keverékek osztályozásáról, címkézéséről és csomagolásáról. Az említett rendelet módosította és hatályon kívül helyezte a 67/548/EEK és az 1999/45/EK irányelveket, valamint az 1907/2006/EK szabályozását. A rendeletet az Európai Unió Hivatalos folyóiratában, L 353, 51. kötet, 2008. december 31 -én tették közzé;</w:t>
      </w:r>
    </w:p>
    <w:p>
      <w:pPr>
        <w:pStyle w:val="ListParagraph"/>
        <w:numPr>
          <w:ilvl w:val="2"/>
          <w:numId w:val="15"/>
        </w:numPr>
        <w:tabs>
          <w:tab w:pos="337" w:val="left" w:leader="none"/>
        </w:tabs>
        <w:spacing w:line="240" w:lineRule="auto" w:before="0" w:after="0"/>
        <w:ind w:left="131" w:right="123" w:firstLine="0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BIZOTTSÁG (EU) 2016/918 RENDELETE (2016. május 19.) az anyagok osztályozásáról, címkézéséről és csomagolásáról szóló 1272/2008/EK európai parlamenti és tanácsi rendeletnek a műszaki és tudományos fejlődéshez történő hozzáigazítása céljából módosításáról és keverékek. A rendeletet 2016. június 14 -én tették közzé az Európai Unió Hivatalos folyóiratában;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0" w:lineRule="exact" w:before="0" w:after="0"/>
        <w:ind w:left="303" w:right="0" w:hanging="173"/>
        <w:jc w:val="both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EURÓPAI PARLAMENT ÉS A TANÁCS 1223/2009/EK RENDELETE (2009. november 30.)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kozmetikai termékekről (HL L 342., 2009.12.22., 59. o.);</w:t>
      </w:r>
    </w:p>
    <w:p>
      <w:pPr>
        <w:pStyle w:val="ListParagraph"/>
        <w:numPr>
          <w:ilvl w:val="2"/>
          <w:numId w:val="15"/>
        </w:numPr>
        <w:tabs>
          <w:tab w:pos="304" w:val="left" w:leader="none"/>
        </w:tabs>
        <w:spacing w:line="241" w:lineRule="exact" w:before="0" w:after="0"/>
        <w:ind w:left="303" w:right="0" w:hanging="173"/>
        <w:jc w:val="left"/>
        <w:rPr>
          <w:sz w:val="20"/>
        </w:rPr>
        <w:bidi w:val="0"/>
      </w:pP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veszélyes áruk közúton történő nemzetközi szállításával kapcsolatos európai megállapodás (ADR).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15"/>
        </w:numPr>
        <w:tabs>
          <w:tab w:pos="982" w:val="left" w:leader="none"/>
          <w:tab w:pos="983" w:val="left" w:leader="none"/>
        </w:tabs>
        <w:spacing w:line="241" w:lineRule="exact" w:before="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KÉMIAI BIZTONSÁGI ÉRTÉKELÉS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Ennél a terméknél nem végeztek kémiai biztonsági értékelést.</w:t>
      </w:r>
    </w:p>
    <w:p>
      <w:pPr>
        <w:pStyle w:val="BodyText"/>
        <w:ind w:left="0"/>
        <w:rPr>
          <w:sz w:val="24"/>
        </w:rPr>
      </w:pPr>
    </w:p>
    <w:p>
      <w:pPr>
        <w:spacing w:before="193"/>
        <w:ind w:left="131" w:right="0" w:firstLine="0"/>
        <w:jc w:val="left"/>
        <w:rPr>
          <w:b/>
          <w:sz w:val="20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pict>
          <v:rect style="position:absolute;margin-left:56.1506pt;margin-top:22.774868pt;width:513.12pt;height:.48pt;mso-position-horizontal-relative:page;mso-position-vertical-relative:paragraph;z-index:-15720960;mso-wrap-distance-left:0;mso-wrap-distance-right:0" id="docshape19" filled="true" fillcolor="#000000" stroked="false">
            <v:fill type="solid"/>
            <w10:wrap type="topAndBottom"/>
          </v:rect>
        </w:pic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16. szakasz </w:t>
      </w: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EGYÉB INFORMÁCIÓK</w:t>
      </w:r>
    </w:p>
    <w:p>
      <w:pPr>
        <w:pStyle w:val="BodyText"/>
        <w:spacing w:before="7"/>
        <w:ind w:left="0"/>
        <w:rPr>
          <w:b/>
          <w:sz w:val="11"/>
        </w:rPr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101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1907/2006/EK rendeletben és a 2020/878 rendeletben foglalt információk.</w:t>
      </w:r>
    </w:p>
    <w:p>
      <w:pPr>
        <w:spacing w:before="4"/>
        <w:ind w:left="131" w:right="7749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Változások jelzése: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–. Kitöltés dátuma: 2022-01-25 Felülvizsgálat: –</w:t>
      </w:r>
    </w:p>
    <w:p>
      <w:pPr>
        <w:pStyle w:val="BodyText"/>
        <w:spacing w:line="237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Verzió szám: 1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1"/>
          <w:numId w:val="16"/>
        </w:numPr>
        <w:tabs>
          <w:tab w:pos="982" w:val="left" w:leader="none"/>
          <w:tab w:pos="983" w:val="left" w:leader="none"/>
        </w:tabs>
        <w:spacing w:line="241" w:lineRule="exact" w:before="0" w:after="0"/>
        <w:ind w:left="982" w:right="0" w:hanging="852"/>
        <w:jc w:val="left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 VESZÉLYESSÉGI ÉS ÓVINTÉZKEDÉSEK TELJES SZÖVEGE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Kiegészítő címkeinformáció: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2"/>
        <w:ind w:left="0"/>
      </w:pPr>
    </w:p>
    <w:p>
      <w:pPr>
        <w:spacing w:before="0"/>
        <w:ind w:left="131" w:right="0" w:firstLine="0"/>
        <w:jc w:val="left"/>
        <w:rPr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 </w:t>
      </w:r>
      <w:r>
        <w:rPr>
          <w:sz w:val="20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Nincs.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Rövidítések:</w:t>
      </w:r>
    </w:p>
    <w:p>
      <w:pPr>
        <w:pStyle w:val="BodyText"/>
        <w:spacing w:line="241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ADR - a Veszélyes Áruk Nemzetközi Közúti Szállításáról szóló Európai Megállapodás</w:t>
      </w:r>
    </w:p>
    <w:p>
      <w:pPr>
        <w:pStyle w:val="BodyText"/>
        <w:spacing w:before="3"/>
        <w:ind w:right="36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ADN – Európai megállapodás a veszélyes áruk nemzetközi belvízi szállításáról. RID – A veszélyes áruk nemzetközi vasúti szállítására vonatkozó szabályok.</w:t>
      </w:r>
    </w:p>
    <w:p>
      <w:pPr>
        <w:pStyle w:val="BodyText"/>
        <w:spacing w:line="242" w:lineRule="auto"/>
        <w:ind w:right="5653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IMDG – Nemzetközi Tengerészeti Veszélyes Áruk. IATA - Nemzetközi Légi Szállítási Szövetség.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IMO – Nemzetközi Tengerészeti Szervezet.</w:t>
      </w:r>
    </w:p>
    <w:p>
      <w:pPr>
        <w:pStyle w:val="BodyText"/>
        <w:spacing w:line="240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vPvB - Nagyon perzisztens és nagyon bioakkumulatív</w:t>
      </w:r>
    </w:p>
    <w:p>
      <w:pPr>
        <w:pStyle w:val="BodyText"/>
        <w:spacing w:line="242" w:lineRule="auto"/>
        <w:ind w:right="501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PBT - perzisztens, bioakkumulatív és toxikus anyag. LC50 - Halálos koncentráció a vizsgált populáció 50%-ánál.</w:t>
      </w:r>
    </w:p>
    <w:p>
      <w:pPr>
        <w:pStyle w:val="BodyText"/>
        <w:spacing w:line="239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LD50 -Halálos dózis a vizsgált populáció 50%-ánál (átlagos halálos dózis).</w:t>
      </w:r>
    </w:p>
    <w:p>
      <w:pPr>
        <w:spacing w:after="0" w:line="239" w:lineRule="exact"/>
        <w:sectPr>
          <w:pgSz w:w="11910" w:h="16840"/>
          <w:pgMar w:header="585" w:footer="0" w:top="2300" w:bottom="280" w:left="1020" w:right="420"/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before="102"/>
        <w:ind w:right="1256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EC50 – Hatásos koncentráció a vizsgált populáció 50%-ára (a maximális hatásos koncentráció fele). IC50 – Gátlási koncentráció a tesztpopuláció 50%-ára (a maximális gátló koncentráció fele). CAS – Chemical Abstracts Service number.</w:t>
      </w:r>
    </w:p>
    <w:p>
      <w:pPr>
        <w:pStyle w:val="BodyText"/>
        <w:spacing w:before="1"/>
        <w:ind w:right="6047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CEN – Európai Szabványügyi Bizottság. STOT – Célszervi toxicitás.</w:t>
      </w:r>
    </w:p>
    <w:p>
      <w:pPr>
        <w:pStyle w:val="BodyText"/>
        <w:spacing w:line="238" w:lineRule="exac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PNEC - Becsült hatásmentes koncentráció</w:t>
      </w:r>
    </w:p>
    <w:p>
      <w:pPr>
        <w:pStyle w:val="BodyText"/>
        <w:spacing w:line="242" w:lineRule="auto"/>
        <w:ind w:right="3500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ACGIH – A foglalkozás- és környezetegészségügyet előmozdító egyesület. NIOSH – Országos Munkahelyi Biztonsági és Egészségvédelmi Intézet.</w:t>
      </w:r>
    </w:p>
    <w:p>
      <w:pPr>
        <w:pStyle w:val="BodyText"/>
        <w:spacing w:line="237" w:lineRule="auto"/>
        <w:ind w:right="7324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NOEC – Nincs hatásos koncentráció. SDS - Biztonsági adatlap.</w:t>
      </w:r>
    </w:p>
    <w:p>
      <w:pPr>
        <w:pStyle w:val="BodyText"/>
        <w:spacing w:before="1"/>
        <w:ind w:left="0"/>
      </w:pPr>
    </w:p>
    <w:p>
      <w:pPr>
        <w:pStyle w:val="Heading1"/>
        <w:spacing w:before="1"/>
        <w:ind w:left="131" w:firstLine="0"/>
        <w:bidi w:val="0"/>
      </w:pPr>
      <w:r>
        <w:rPr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FŐBB FELHASZNÁLT FORRÁSMUNKÁK:</w:t>
      </w:r>
    </w:p>
    <w:p>
      <w:pPr>
        <w:pStyle w:val="BodyText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- Az Európai Vegyianyag Iroda (ECB), az Európai Vegyianyag Ügynökség (ECHA), a Svéd Vegyianyag Ügynökség (KEMI), a Nemzetközi Laboratóriumok Szervezete (ILO), a TOXNET internetes oldalak által szolgáltatott adatok.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line="241" w:lineRule="exact" w:before="0"/>
        <w:ind w:left="131" w:right="0" w:firstLine="0"/>
        <w:jc w:val="left"/>
        <w:rPr>
          <w:b/>
          <w:sz w:val="20"/>
        </w:rPr>
        <w:bidi w:val="0"/>
      </w:pPr>
      <w:r>
        <w:rPr>
          <w:sz w:val="20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Felelősségkorlátozási nyilatkozat</w:t>
      </w:r>
    </w:p>
    <w:p>
      <w:pPr>
        <w:pStyle w:val="BodyText"/>
        <w:ind w:right="119"/>
        <w:jc w:val="both"/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Az információ legjobb tudásunk szerint az SDS közzétételének időpontjában helyes. Ez nem egy specifikációs lap, és a megjelenített adatok sem tekinthetők specifikációnak. A jelen anyagbiztonsági adatlapon feltüntetett biztonsági információk általunk megbízhatónak ítélt forrásokból származnak. Az információkat azonban a helyességére vonatkozó kifejezett vagy hallgatólagos garancia nélkül adjuk. Egyes itt bemutatott információk és levont következtetések nem a termékre vonatkozó közvetlen tesztadatoktól származnak. A termék kezelésének, tárolásának, felhasználásának és ártalmatlanításának feltételei és módszerei ellenőrzésünkön kívül esnek, és meghaladhatják ismereteinket. Emiatt és egyéb okokból nem vállalunk felelősséget és kifejezetten elhárítjuk a felelősséget a termék kezeléséből, tárolásából, használatából vagy ártalmatlanításából eredő vagy azzal bármilyen módon összefüggő veszteségekért, károkért vagy költségekért. Ha a terméket egy másik termék összetevőjeként használják, előfordulhat, hogy ez az SDS-információ nem alkalmazható.</w:t>
      </w:r>
    </w:p>
    <w:sectPr>
      <w:pgSz w:w="11910" w:h="16840"/>
      <w:pgMar w:header="585" w:footer="0" w:top="230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bidi w:val="0"/>
    </w:pP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rect style="position:absolute;margin-left:56.1506pt;margin-top:114.710571pt;width:513.12pt;height:.48pt;mso-position-horizontal-relative:page;mso-position-vertical-relative:page;z-index:-16025600" id="docshape1" filled="true" fillcolor="#000000" stroked="false">
          <v:fill type="solid"/>
          <w10:wrap type="none"/>
        </v:rect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0694pt;margin-top:28.265648pt;width:380.75pt;height:38.450pt;mso-position-horizontal-relative:page;mso-position-vertical-relative:page;z-index:-16025088" type="#_x0000_t202" id="docshape2" filled="false" stroked="false">
          <v:textbox inset="0,0,0,0">
            <w:txbxContent>
              <w:p>
                <w:pPr>
                  <w:spacing w:line="241" w:lineRule="exact" w:before="21"/>
                  <w:ind w:left="20" w:right="0" w:firstLine="0"/>
                  <w:jc w:val="left"/>
                  <w:rPr>
                    <w:b/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BIZTONSÁGI ADATLAP</w:t>
                </w:r>
              </w:p>
              <w:p>
                <w:pPr>
                  <w:pStyle w:val="BodyText"/>
                  <w:spacing w:line="241" w:lineRule="exact"/>
                  <w:ind w:left="20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Az Európai Bizottság (EU) 2020/878 rendelet II. melléklete szerint készült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TERMÉK: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Pigment tartós sminkhez</w:t>
                </w:r>
              </w:p>
            </w:txbxContent>
          </v:textbox>
          <w10:wrap type="none"/>
        </v:shape>
      </w:pict>
    </w:r>
    <w:r>
      <w:rPr>
        <w:lang w:val="hu"/>
        <w:b w:val="0"/>
        <w:bCs w:val="0"/>
        <w:i w:val="0"/>
        <w:iCs w:val="0"/>
        <w:u w:val="none"/>
        <w:vertAlign w:val="baseline"/>
        <w:rtl w:val="0"/>
      </w:rPr>
      <w:pict>
        <v:shape style="position:absolute;margin-left:442.213013pt;margin-top:64.505646pt;width:126.75pt;height:50.45pt;mso-position-horizontal-relative:page;mso-position-vertical-relative:page;z-index:-16024576" type="#_x0000_t202" id="docshape3" filled="false" stroked="false">
          <v:textbox inset="0,0,0,0">
            <w:txbxContent>
              <w:p>
                <w:pPr>
                  <w:spacing w:line="241" w:lineRule="exact" w:before="21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Kitöltés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25 01 2022</w:t>
                </w:r>
              </w:p>
              <w:p>
                <w:pPr>
                  <w:spacing w:line="241" w:lineRule="exact" w:before="0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Legutóbbi felülvizsgálat dátuma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: -</w:t>
                </w:r>
              </w:p>
              <w:p>
                <w:pPr>
                  <w:spacing w:line="241" w:lineRule="exact" w:before="4"/>
                  <w:ind w:left="0" w:right="18" w:firstLine="0"/>
                  <w:jc w:val="right"/>
                  <w:rPr>
                    <w:sz w:val="20"/>
                  </w:rPr>
                  <w:bidi w:val="0"/>
                </w:pPr>
                <w:r>
                  <w:rPr>
                    <w:sz w:val="20"/>
                    <w:lang w:val="h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Verzió: </w:t>
                </w:r>
                <w:r>
                  <w:rPr>
                    <w:sz w:val="20"/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</w:p>
              <w:p>
                <w:pPr>
                  <w:pStyle w:val="BodyText"/>
                  <w:spacing w:line="241" w:lineRule="exact"/>
                  <w:ind w:left="0" w:right="18"/>
                  <w:jc w:val="right"/>
                  <w:bidi w:val="0"/>
                </w:pP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begin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instrText> PAGE </w:instrTex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separate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1</w:t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fldChar w:fldCharType="end"/>
                </w:r>
                <w:r>
                  <w:rPr>
                    <w:lang w:val="h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 / 9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131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1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131" w:hanging="180"/>
      </w:pPr>
      <w:rPr>
        <w:rFonts w:hint="default" w:ascii="Tahoma" w:hAnsi="Tahoma" w:eastAsia="Tahoma" w:cs="Tahom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7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887" w:hanging="756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7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7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7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7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7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75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7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9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62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82" w:hanging="8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82" w:hanging="851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7" w:hanging="8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5" w:hanging="8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8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2" w:hanging="8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1" w:hanging="8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9" w:hanging="8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8" w:hanging="85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21" w:hanging="7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21" w:hanging="79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9" w:hanging="7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3" w:hanging="7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8" w:hanging="7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2" w:hanging="7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7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1" w:hanging="7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6" w:hanging="7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759" w:hanging="628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4" w:hanging="6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1" w:hanging="6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9" w:hanging="6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6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3" w:hanging="6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0" w:hanging="6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5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51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72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1"/>
    </w:pPr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1" w:lineRule="exact"/>
      <w:ind w:left="982" w:hanging="852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3777" w:right="3773"/>
      <w:jc w:val="center"/>
    </w:pPr>
    <w:rPr>
      <w:rFonts w:ascii="Tahoma" w:hAnsi="Tahoma" w:eastAsia="Tahoma" w:cs="Tahom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982" w:hanging="852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71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eader" Target="header1.xml" /><Relationship Id="rId6" Type="http://schemas.openxmlformats.org/officeDocument/2006/relationships/hyperlink" TargetMode="External" Target="mailto:darveks@gmail.com" /><Relationship Id="rId7" Type="http://schemas.openxmlformats.org/officeDocument/2006/relationships/numbering" Target="numbering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Amsterdam.docx</dc:title>
  <dcterms:created xsi:type="dcterms:W3CDTF">2023-02-28T14:27:18Z</dcterms:created>
  <dcterms:modified xsi:type="dcterms:W3CDTF">2023-02-28T14:27:18Z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Версия 11.0.1 (Выпуск 20B29) Quartz PDFContext</vt:lpwstr>
  </property>
</Properties>
</file>