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Title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BIZTONSÁGI ADATLAP</w:t>
      </w:r>
    </w:p>
    <w:p>
      <w:pPr>
        <w:pStyle w:val="BodyText"/>
        <w:spacing w:before="3"/>
        <w:ind w:left="0"/>
        <w:rPr>
          <w:b/>
          <w:sz w:val="40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12.884904pt;width:513.12pt;height:.48pt;mso-position-horizontal-relative:page;mso-position-vertical-relative:paragraph;z-index:-15728640;mso-wrap-distance-left:0;mso-wrap-distance-right:0" id="docshape4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ANYAG/KEVERÉK ÉS A VÁLLALAT/VÁLLALKOZÁS AZONOSÍTÁSA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0" w:lineRule="auto" w:before="102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TERMÉKAZONOSÍTÓ</w:t>
      </w:r>
    </w:p>
    <w:p>
      <w:pPr>
        <w:spacing w:before="12"/>
        <w:ind w:left="135" w:right="0" w:firstLine="0"/>
        <w:jc w:val="left"/>
        <w:rPr>
          <w:rFonts w:ascii="Arial"/>
          <w:b/>
          <w:sz w:val="24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Termék neve: </w:t>
      </w:r>
      <w:r>
        <w:rPr>
          <w:rFonts w:ascii="Arial"/>
          <w:sz w:val="24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Tégla</w:t>
      </w:r>
    </w:p>
    <w:p>
      <w:pPr>
        <w:spacing w:before="37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keverék egyedi formulaazonosítója (UFI):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–.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 VAGY KEVERÉK MEGFELELŐ AZONOSÍTOTT FELHASZNÁLÁSA, ILLETVE ELLENJAVALLT FELHASZNÁLÁSA</w:t>
      </w:r>
    </w:p>
    <w:p>
      <w:pPr>
        <w:spacing w:line="240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Lényeges azonosított felhasználása: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Alkalmazás: tartós sminkre.</w:t>
      </w:r>
    </w:p>
    <w:p>
      <w:pPr>
        <w:spacing w:line="241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Ellenjavallt felhasználások: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BIZTONSÁGI ADATLAP SZÁLLÍTÓJÁNAK ADATAI</w:t>
      </w: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Gyártó/beszállító:</w:t>
      </w:r>
    </w:p>
    <w:p>
      <w:pPr>
        <w:pStyle w:val="BodyText"/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IP Savina Darya Alekseevna</w:t>
      </w:r>
    </w:p>
    <w:p>
      <w:pPr>
        <w:pStyle w:val="BodyText"/>
        <w:ind w:right="552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Dalnyaya, 39/5, iroda 603, Krasnodar, 350051, Oroszország Tel. sz.: +79891220581</w:t>
      </w:r>
    </w:p>
    <w:p>
      <w:pPr>
        <w:pStyle w:val="BodyText"/>
        <w:spacing w:before="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Weboldal: face-company.com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4" w:right="2742" w:hanging="3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biztonsági adatlapért felelős személy elektronikus levelezési címe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: E-mail: </w:t>
      </w:r>
      <w:hyperlink r:id="rId6">
        <w:r>
          <w:rPr>
            <w:sz w:val="20"/>
            <w:lang w:val="hu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darveks@gmail.com</w:t>
        </w:r>
      </w:hyperlink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SÜRGŐSSÉGI TELEFONSZÁM</w:t>
      </w:r>
    </w:p>
    <w:p>
      <w:pPr>
        <w:pStyle w:val="BodyText"/>
        <w:spacing w:line="242" w:lineRule="auto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(Ausztria) Tel. Tel.: +43 1 406 4343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Antigif Centrum Center Antipoisons (Belgium) Tel. Tel.: +32 070 245 245</w:t>
      </w:r>
    </w:p>
    <w:p>
      <w:pPr>
        <w:pStyle w:val="BodyText"/>
        <w:ind w:left="0"/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Toxikológiai Központ, Aktív Gyógykezelési és Sürgősségi Kórház "NIPirogov" (Bulgária) Tel. Tel./ fax: +359 2 9154 233</w:t>
      </w:r>
    </w:p>
    <w:p>
      <w:pPr>
        <w:pStyle w:val="BodyText"/>
        <w:spacing w:before="1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(Horvátország) Tel. szám: +385 1 234 8342</w:t>
      </w:r>
    </w:p>
    <w:p>
      <w:pPr>
        <w:pStyle w:val="BodyText"/>
        <w:ind w:left="0"/>
      </w:pPr>
    </w:p>
    <w:p>
      <w:pPr>
        <w:pStyle w:val="BodyText"/>
        <w:spacing w:before="1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Toxikológiai Tájékoztatóközpont (Csehország) Tel.: Tel.: +420 224 919 293, +420 224 915 402</w:t>
      </w:r>
    </w:p>
    <w:p>
      <w:pPr>
        <w:pStyle w:val="BodyText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Poison Control Hotline (Dánia) Tel. szám: +45 82 12 12 12</w:t>
      </w:r>
    </w:p>
    <w:p>
      <w:pPr>
        <w:pStyle w:val="BodyText"/>
        <w:spacing w:before="1"/>
        <w:ind w:left="0"/>
      </w:pP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Információs Központ (Észtország)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+372 794 3794 (vagy 16662 országos)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spacing w:line="242" w:lineRule="auto"/>
        <w:ind w:right="689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Információs Központ (Finnország)  Tel.: +358 09 471 977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ORFILA (INERIS) (Franciaország)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+33 (0) 1 45 42 59 59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Egészségügyi Toxikológiai Információs Szolgálat (Magyarország) Tel.: +36 80 20 11 99</w:t>
      </w:r>
    </w:p>
    <w:p>
      <w:pPr>
        <w:spacing w:after="0"/>
        <w:sectPr>
          <w:headerReference w:type="default" r:id="rId5"/>
          <w:type w:val="continuous"/>
          <w:pgSz w:w="11910" w:h="16840"/>
          <w:pgMar w:header="585" w:footer="0" w:top="2300" w:bottom="280" w:left="1020" w:right="420"/>
          <w:pgNumType w:start="1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spacing w:before="102"/>
        <w:ind w:right="795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(Izland) Tel. szám: +354 543 2222</w:t>
      </w:r>
    </w:p>
    <w:p>
      <w:pPr>
        <w:pStyle w:val="BodyText"/>
        <w:ind w:left="0"/>
      </w:pPr>
    </w:p>
    <w:p>
      <w:pPr>
        <w:pStyle w:val="BodyText"/>
        <w:spacing w:line="241" w:lineRule="exact" w:before="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Mérgezési Információs Központ (Írország)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+353 (0)1 809 2566 / +353 (0)1 837 9964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spacing w:line="242" w:lineRule="auto"/>
        <w:ind w:right="350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Valsts Toksikoloģijas centrs, Saindēšanās un zāļu informācijas centrs (Lettország) Tel.: szám: +371 670 42473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line="242" w:lineRule="auto"/>
        <w:ind w:right="216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State Medicines Control Agency (Állami Gyóygszerellenőrzési Intézet) (SMCA), Poison Information Bureau (Méregközpont) (PIB) (Litvánia) Tel.: szám: +370 5 236 20 52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before="1"/>
        <w:ind w:right="795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Mater Dei Kórház (Málta) Tel. szám: +356 2545 0000</w:t>
      </w:r>
    </w:p>
    <w:p>
      <w:pPr>
        <w:pStyle w:val="BodyText"/>
        <w:ind w:left="0"/>
      </w:pPr>
    </w:p>
    <w:p>
      <w:pPr>
        <w:pStyle w:val="BodyText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Mérgezési Információs Központ (NVIC) (Hollandia) Tel. szám: +31 (0) 30 274 8888</w:t>
      </w:r>
    </w:p>
    <w:p>
      <w:pPr>
        <w:pStyle w:val="BodyText"/>
        <w:spacing w:before="1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Mentálhigiénés Segélyvonal (Norvégia) Tel. szám: +47 22 59 13 00</w:t>
      </w:r>
    </w:p>
    <w:p>
      <w:pPr>
        <w:pStyle w:val="BodyText"/>
        <w:ind w:left="0"/>
      </w:pPr>
    </w:p>
    <w:p>
      <w:pPr>
        <w:pStyle w:val="BodyText"/>
        <w:ind w:right="552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Instituto Nacional de Emergência Médica (Portugália) Tel. szám: +351 213 303 271</w:t>
      </w:r>
    </w:p>
    <w:p>
      <w:pPr>
        <w:pStyle w:val="BodyText"/>
        <w:spacing w:before="1"/>
        <w:ind w:left="0"/>
      </w:pPr>
    </w:p>
    <w:p>
      <w:pPr>
        <w:pStyle w:val="BodyText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Biroul RSI si Informare Toxicologica (Románia) Tel. szám: +40 021 318 3606</w:t>
      </w:r>
    </w:p>
    <w:p>
      <w:pPr>
        <w:pStyle w:val="BodyText"/>
        <w:ind w:left="0"/>
      </w:pPr>
    </w:p>
    <w:p>
      <w:pPr>
        <w:pStyle w:val="BodyText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Toxikológiai Információs Központ (NTIC) (Szlovákia) Tel. sz.: +421 2 5477 4166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line="242" w:lineRule="auto"/>
        <w:ind w:right="689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Toxikológiai Tájékoztató Szolgálat (Spanyolország) Tel.: szám: +34 91 562 04 20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line="242" w:lineRule="auto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Svéd Méregközpont (Svédország) Tel. szám: +46 08 331231</w:t>
      </w:r>
    </w:p>
    <w:p>
      <w:pPr>
        <w:pStyle w:val="BodyText"/>
        <w:ind w:left="0"/>
        <w:rPr>
          <w:sz w:val="24"/>
        </w:rPr>
      </w:pPr>
    </w:p>
    <w:p>
      <w:pPr>
        <w:spacing w:before="192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484898pt;width:513.12pt;height:.48pt;mso-position-horizontal-relative:page;mso-position-vertical-relative:paragraph;z-index:-15728128;mso-wrap-distance-left:0;mso-wrap-distance-right:0" id="docshape5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2.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VESZÉLYESSÉG SZERINTI BESOROLÁS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2"/>
        </w:numPr>
        <w:tabs>
          <w:tab w:pos="851" w:val="left" w:leader="none"/>
          <w:tab w:pos="852" w:val="left" w:leader="none"/>
        </w:tabs>
        <w:spacing w:line="240" w:lineRule="auto" w:before="101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 VAGY KEVERÉK OSZTÁLYOZÁSA</w:t>
      </w:r>
    </w:p>
    <w:p>
      <w:pPr>
        <w:pStyle w:val="ListParagraph"/>
        <w:numPr>
          <w:ilvl w:val="2"/>
          <w:numId w:val="2"/>
        </w:numPr>
        <w:tabs>
          <w:tab w:pos="760" w:val="left" w:leader="none"/>
        </w:tabs>
        <w:spacing w:line="241" w:lineRule="exact" w:before="4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Osztályozás az 1272/2008/EK [CLP] rendelet szerint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2"/>
          <w:numId w:val="2"/>
        </w:numPr>
        <w:tabs>
          <w:tab w:pos="761" w:val="left" w:leader="none"/>
        </w:tabs>
        <w:spacing w:line="241" w:lineRule="exact" w:before="0" w:after="0"/>
        <w:ind w:left="760" w:right="0" w:hanging="63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További információ: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H mondatok, a veszély és az EU figyelmeztető mondatok teljes szövege a 16. részben találhatók.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71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CÍMKÉZÉSI ELEMEK</w:t>
      </w:r>
    </w:p>
    <w:p>
      <w:pPr>
        <w:pStyle w:val="ListParagraph"/>
        <w:numPr>
          <w:ilvl w:val="2"/>
          <w:numId w:val="2"/>
        </w:numPr>
        <w:tabs>
          <w:tab w:pos="760" w:val="left" w:leader="none"/>
        </w:tabs>
        <w:spacing w:line="240" w:lineRule="auto" w:before="3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Címke az 1272/2008/EK rendelet [CLP] szerint</w:t>
      </w:r>
    </w:p>
    <w:p>
      <w:pPr>
        <w:pStyle w:val="BodyText"/>
        <w:spacing w:before="10"/>
        <w:ind w:left="0"/>
        <w:rPr>
          <w:b/>
          <w:sz w:val="19"/>
        </w:rPr>
      </w:pPr>
    </w:p>
    <w:p>
      <w:pPr>
        <w:pStyle w:val="BodyText"/>
        <w:spacing w:line="242" w:lineRule="auto"/>
        <w:ind w:right="7952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Veszélyességi piktogramok: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 </w:t>
      </w: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Figyelmeztetés: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line="237" w:lineRule="auto"/>
        <w:ind w:right="7324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Figyelmeztető mondatok: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 </w:t>
      </w: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Óvintézkedésre vonatkozó mondatok: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before="2"/>
        <w:ind w:left="0"/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Kiegészítő címkeinformáció: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spacing w:after="0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Heading1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41" w:lineRule="exact" w:before="102" w:after="0"/>
        <w:ind w:left="840" w:right="0" w:hanging="71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VESZÉLYEK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nem felel meg az 1907/2006/EK rendelet szerinti PBT vagy vPvB kritériumoknak.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92pt;width:513.12pt;height:.48pt;mso-position-horizontal-relative:page;mso-position-vertical-relative:paragraph;z-index:-15727616;mso-wrap-distance-left:0;mso-wrap-distance-right:0" id="docshape6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3.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ÖSSZETÉTEL/ÖSSZETEVŐKRE VONATKOZÓ INFORMÁCIÓK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3"/>
        </w:numPr>
        <w:tabs>
          <w:tab w:pos="921" w:val="left" w:leader="none"/>
          <w:tab w:pos="922" w:val="left" w:leader="none"/>
        </w:tabs>
        <w:spacing w:line="241" w:lineRule="exact" w:before="102" w:after="0"/>
        <w:ind w:left="921" w:right="0" w:hanging="79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ANYAGOK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 (a termék keverék).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3"/>
        </w:numPr>
        <w:tabs>
          <w:tab w:pos="921" w:val="left" w:leader="none"/>
          <w:tab w:pos="922" w:val="left" w:leader="none"/>
        </w:tabs>
        <w:spacing w:line="240" w:lineRule="auto" w:before="0" w:after="0"/>
        <w:ind w:left="921" w:right="0" w:hanging="79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KEVERÉKEK</w:t>
      </w: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8"/>
        <w:gridCol w:w="1858"/>
        <w:gridCol w:w="1234"/>
        <w:gridCol w:w="1114"/>
        <w:gridCol w:w="2328"/>
      </w:tblGrid>
      <w:tr>
        <w:trPr>
          <w:trHeight w:val="397" w:hRule="atLeast"/>
        </w:trPr>
        <w:tc>
          <w:tcPr>
            <w:tcW w:w="1968" w:type="dxa"/>
            <w:vMerge w:val="restart"/>
          </w:tcPr>
          <w:p>
            <w:pPr>
              <w:pStyle w:val="TableParagraph"/>
              <w:spacing w:line="240" w:lineRule="auto" w:before="6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466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Anyag</w:t>
            </w:r>
          </w:p>
        </w:tc>
        <w:tc>
          <w:tcPr>
            <w:tcW w:w="1858" w:type="dxa"/>
            <w:vMerge w:val="restart"/>
          </w:tcPr>
          <w:p>
            <w:pPr>
              <w:pStyle w:val="TableParagraph"/>
              <w:spacing w:line="240" w:lineRule="auto" w:before="6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677" w:right="666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INCI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40" w:lineRule="auto" w:before="6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222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CAS-szám</w:t>
            </w:r>
          </w:p>
        </w:tc>
        <w:tc>
          <w:tcPr>
            <w:tcW w:w="1114" w:type="dxa"/>
            <w:vMerge w:val="restart"/>
          </w:tcPr>
          <w:p>
            <w:pPr>
              <w:pStyle w:val="TableParagraph"/>
              <w:spacing w:line="242" w:lineRule="auto" w:before="200"/>
              <w:ind w:left="387" w:right="175" w:hanging="197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EK/listaszám</w:t>
            </w:r>
          </w:p>
        </w:tc>
        <w:tc>
          <w:tcPr>
            <w:tcW w:w="2328" w:type="dxa"/>
          </w:tcPr>
          <w:p>
            <w:pPr>
              <w:pStyle w:val="TableParagraph"/>
              <w:spacing w:line="240" w:lineRule="auto" w:before="75"/>
              <w:ind w:left="458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Osztályozás:</w:t>
            </w:r>
          </w:p>
        </w:tc>
      </w:tr>
      <w:tr>
        <w:trPr>
          <w:trHeight w:val="479" w:hRule="atLeast"/>
        </w:trPr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</w:tcPr>
          <w:p>
            <w:pPr>
              <w:pStyle w:val="TableParagraph"/>
              <w:spacing w:line="240" w:lineRule="exact"/>
              <w:ind w:left="302" w:right="294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Az EK sz.</w:t>
            </w:r>
          </w:p>
          <w:p>
            <w:pPr>
              <w:pStyle w:val="TableParagraph"/>
              <w:spacing w:line="220" w:lineRule="exact"/>
              <w:ind w:left="302" w:right="294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1272/2008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spacing w:line="235" w:lineRule="exact" w:before="18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Víz</w:t>
            </w:r>
          </w:p>
        </w:tc>
        <w:tc>
          <w:tcPr>
            <w:tcW w:w="1858" w:type="dxa"/>
          </w:tcPr>
          <w:p>
            <w:pPr>
              <w:pStyle w:val="TableParagraph"/>
              <w:spacing w:line="235" w:lineRule="exact" w:before="18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Aqua</w:t>
            </w:r>
          </w:p>
        </w:tc>
        <w:tc>
          <w:tcPr>
            <w:tcW w:w="1234" w:type="dxa"/>
          </w:tcPr>
          <w:p>
            <w:pPr>
              <w:pStyle w:val="TableParagraph"/>
              <w:spacing w:line="235" w:lineRule="exact" w:before="18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7732-18-5</w:t>
            </w:r>
          </w:p>
        </w:tc>
        <w:tc>
          <w:tcPr>
            <w:tcW w:w="1114" w:type="dxa"/>
          </w:tcPr>
          <w:p>
            <w:pPr>
              <w:pStyle w:val="TableParagraph"/>
              <w:spacing w:line="235" w:lineRule="exact" w:before="18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231-791-2</w:t>
            </w:r>
          </w:p>
        </w:tc>
        <w:tc>
          <w:tcPr>
            <w:tcW w:w="2328" w:type="dxa"/>
          </w:tcPr>
          <w:p>
            <w:pPr>
              <w:pStyle w:val="TableParagraph"/>
              <w:spacing w:line="235" w:lineRule="exact" w:before="18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7" w:hRule="atLeast"/>
        </w:trPr>
        <w:tc>
          <w:tcPr>
            <w:tcW w:w="1968" w:type="dxa"/>
          </w:tcPr>
          <w:p>
            <w:pPr>
              <w:pStyle w:val="TableParagraph"/>
              <w:spacing w:line="240" w:lineRule="exact" w:before="18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Glicerol</w:t>
            </w:r>
          </w:p>
        </w:tc>
        <w:tc>
          <w:tcPr>
            <w:tcW w:w="1858" w:type="dxa"/>
          </w:tcPr>
          <w:p>
            <w:pPr>
              <w:pStyle w:val="TableParagraph"/>
              <w:spacing w:line="240" w:lineRule="exact" w:before="18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Glicerin</w:t>
            </w:r>
          </w:p>
        </w:tc>
        <w:tc>
          <w:tcPr>
            <w:tcW w:w="1234" w:type="dxa"/>
          </w:tcPr>
          <w:p>
            <w:pPr>
              <w:pStyle w:val="TableParagraph"/>
              <w:spacing w:line="240" w:lineRule="exact" w:before="18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56-81-5</w:t>
            </w:r>
          </w:p>
        </w:tc>
        <w:tc>
          <w:tcPr>
            <w:tcW w:w="1114" w:type="dxa"/>
          </w:tcPr>
          <w:p>
            <w:pPr>
              <w:pStyle w:val="TableParagraph"/>
              <w:spacing w:line="240" w:lineRule="exact" w:before="18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200-289-5</w:t>
            </w:r>
          </w:p>
        </w:tc>
        <w:tc>
          <w:tcPr>
            <w:tcW w:w="2328" w:type="dxa"/>
          </w:tcPr>
          <w:p>
            <w:pPr>
              <w:pStyle w:val="TableParagraph"/>
              <w:spacing w:line="240" w:lineRule="exact" w:before="18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Kinolin sárga</w:t>
            </w:r>
          </w:p>
        </w:tc>
        <w:tc>
          <w:tcPr>
            <w:tcW w:w="1858" w:type="dxa"/>
          </w:tcPr>
          <w:p>
            <w:pPr>
              <w:pStyle w:val="TableParagraph"/>
              <w:spacing w:line="253" w:lineRule="exact"/>
              <w:rPr>
                <w:rFonts w:ascii="Lucida Sans Unicode"/>
                <w:sz w:val="20"/>
              </w:rPr>
              <w:bidi w:val="0"/>
            </w:pPr>
            <w:r>
              <w:rPr>
                <w:rFonts w:ascii="Lucida Sans Unicode" w:hAnsi="Lucida Sans Unicode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47005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8004-92-0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305-632-3</w:t>
            </w:r>
          </w:p>
        </w:tc>
        <w:tc>
          <w:tcPr>
            <w:tcW w:w="2328" w:type="dxa"/>
          </w:tcPr>
          <w:p>
            <w:pPr>
              <w:pStyle w:val="TableParagraph"/>
              <w:spacing w:line="240" w:lineRule="exact" w:before="13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Vas vörös-oxid</w:t>
            </w:r>
          </w:p>
        </w:tc>
        <w:tc>
          <w:tcPr>
            <w:tcW w:w="1858" w:type="dxa"/>
          </w:tcPr>
          <w:p>
            <w:pPr>
              <w:pStyle w:val="TableParagraph"/>
              <w:spacing w:line="253" w:lineRule="exact"/>
              <w:rPr>
                <w:rFonts w:ascii="Lucida Sans Unicode"/>
                <w:sz w:val="20"/>
              </w:rPr>
              <w:bidi w:val="0"/>
            </w:pPr>
            <w:r>
              <w:rPr>
                <w:rFonts w:ascii="Lucida Sans Unicode" w:hAnsi="Lucida Sans Unicode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77491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1309-37-1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215-168-2</w:t>
            </w:r>
          </w:p>
        </w:tc>
        <w:tc>
          <w:tcPr>
            <w:tcW w:w="2328" w:type="dxa"/>
          </w:tcPr>
          <w:p>
            <w:pPr>
              <w:pStyle w:val="TableParagraph"/>
              <w:spacing w:line="240" w:lineRule="exact" w:before="13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Mordant Red 11</w:t>
            </w:r>
          </w:p>
        </w:tc>
        <w:tc>
          <w:tcPr>
            <w:tcW w:w="1858" w:type="dxa"/>
          </w:tcPr>
          <w:p>
            <w:pPr>
              <w:pStyle w:val="TableParagraph"/>
              <w:spacing w:line="253" w:lineRule="exact"/>
              <w:rPr>
                <w:rFonts w:ascii="Lucida Sans Unicode"/>
                <w:sz w:val="20"/>
              </w:rPr>
              <w:bidi w:val="0"/>
            </w:pPr>
            <w:r>
              <w:rPr>
                <w:rFonts w:ascii="Lucida Sans Unicode" w:hAnsi="Lucida Sans Unicode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58000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72-48-0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200-782-5</w:t>
            </w:r>
          </w:p>
        </w:tc>
        <w:tc>
          <w:tcPr>
            <w:tcW w:w="2328" w:type="dxa"/>
          </w:tcPr>
          <w:p>
            <w:pPr>
              <w:pStyle w:val="TableParagraph"/>
              <w:spacing w:line="240" w:lineRule="exact" w:before="13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Titán-dioxid</w:t>
            </w:r>
          </w:p>
        </w:tc>
        <w:tc>
          <w:tcPr>
            <w:tcW w:w="1858" w:type="dxa"/>
          </w:tcPr>
          <w:p>
            <w:pPr>
              <w:pStyle w:val="TableParagraph"/>
              <w:spacing w:line="253" w:lineRule="exact"/>
              <w:rPr>
                <w:rFonts w:ascii="Lucida Sans Unicode"/>
                <w:sz w:val="20"/>
              </w:rPr>
              <w:bidi w:val="0"/>
            </w:pPr>
            <w:r>
              <w:rPr>
                <w:rFonts w:ascii="Lucida Sans Unicode" w:hAnsi="Lucida Sans Unicode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77891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13463-67-7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236-675-5</w:t>
            </w:r>
          </w:p>
        </w:tc>
        <w:tc>
          <w:tcPr>
            <w:tcW w:w="2328" w:type="dxa"/>
          </w:tcPr>
          <w:p>
            <w:pPr>
              <w:pStyle w:val="TableParagraph"/>
              <w:spacing w:line="235" w:lineRule="exact" w:before="18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</w:tbl>
    <w:p>
      <w:pPr>
        <w:spacing w:before="2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További információ: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H-mondatok teljes szövegét lásd a 16. szakaszban.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89pt;width:513.12pt;height:.48pt;mso-position-horizontal-relative:page;mso-position-vertical-relative:paragraph;z-index:-15727104;mso-wrap-distance-left:0;mso-wrap-distance-right:0" id="docshape7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4.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ELSŐSEGÉLY-NYÚJTÁSI INTÉZKEDÉSEK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4"/>
        </w:numPr>
        <w:tabs>
          <w:tab w:pos="851" w:val="left" w:leader="none"/>
          <w:tab w:pos="852" w:val="left" w:leader="none"/>
        </w:tabs>
        <w:spacing w:line="241" w:lineRule="exact" w:before="101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ELSŐSEGÉLY-NYÚJTÁSI INTÉZKEDÉSEK ISMERTETÉSE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információk.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Ha bármilyen kellemetlen érzés jelentkezik, forduljon orvoshoz.</w:t>
      </w:r>
    </w:p>
    <w:p>
      <w:pPr>
        <w:pStyle w:val="BodyText"/>
        <w:spacing w:before="4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Ha a termék bőrre került.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Kérjen orvosi ellátást, ha tartós irritáció alakul ki. A bőrt le kell öblíteni vízzel/zuhanyozás. </w:t>
      </w: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Szembe jutás.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Azonnal mossa ki a szemet bő vízzel. Azonnal forduljon orvoshoz, ha az irritáció folytatódik.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Belélegzést követően.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sérültet vigye friss levegőre. Tünetek kialakulása vagy fennállása esetén hívjon orvost.</w:t>
      </w:r>
    </w:p>
    <w:p>
      <w:pPr>
        <w:pStyle w:val="BodyTex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Lenyelés.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szájat ki kell öblíteni. Nagy mennyiségű lenyelés esetén azonnal hívja a mérgezési központot.</w:t>
      </w:r>
    </w:p>
    <w:p>
      <w:pPr>
        <w:spacing w:line="239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Elsősegélyt nyújtók védelme: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Saját biztonságukról való gondoskodás.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4"/>
        </w:numPr>
        <w:tabs>
          <w:tab w:pos="957" w:val="left" w:leader="none"/>
          <w:tab w:pos="958" w:val="left" w:leader="none"/>
        </w:tabs>
        <w:spacing w:line="241" w:lineRule="exact" w:before="1" w:after="0"/>
        <w:ind w:left="958" w:right="0" w:hanging="827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LEGFONTOSABB – AKUT ÉS KÉSLELTETETT – TÜNETEK ÉS HATÁSOK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4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SZÜKSÉGES AZONNALI ORVOSI ELLÁTÁS ÉS KÜLÖNLEGES ELLÁTÁS JELZÉSE</w:t>
      </w: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Tüneti kezelést igényel. Mérgezés gyanúja esetén haladéktalanul fordulni kell az Országos Mérgezési Információs Központhoz, a segélyhívó telefonszámot lásd az 1.4. pontban.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spacing w:before="146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0.184879pt;width:513.12pt;height:.48pt;mso-position-horizontal-relative:page;mso-position-vertical-relative:paragraph;z-index:-15726592;mso-wrap-distance-left:0;mso-wrap-distance-right:0" id="docshape8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5.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TŰZVÉDELMI INTÉZKEDÉSEK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spacing w:before="102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tűzveszély.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Tisztítsa meg a tűzterületet minden nem sürgősségi személyzettől.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OLTÓANYAGOK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single"/>
          <w:vertAlign w:val="baseline"/>
          <w:rtl w:val="0"/>
        </w:rPr>
        <w:t xml:space="preserve">A megfelelő oltóanyag.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Vízpermet, hab, száraz vegyszer vagy szén-dioxid (CO</w:t>
      </w:r>
      <w:r>
        <w:rPr>
          <w:sz w:val="13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2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).</w:t>
      </w:r>
    </w:p>
    <w:p>
      <w:pPr>
        <w:spacing w:before="4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single"/>
          <w:vertAlign w:val="baseline"/>
          <w:rtl w:val="0"/>
        </w:rPr>
        <w:t xml:space="preserve">Nem alkalmazható oltóanyagok.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 használjon oltóanyagként vízsugarat, ez ugyanis a tűz további terjedését okozza.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ANYAGBÓL VAGY A KEVERÉKBŐL SZÁRMAZÓ KÜLÖNLEGES VESZÉLYEK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bomlása során szén-monoxid, szén-dioxid és egyéb anyagok szabadulnak fel.</w:t>
      </w:r>
    </w:p>
    <w:p>
      <w:pPr>
        <w:spacing w:after="0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TŰZOLTÓKNAK SZÓLÓ JAVASLAT</w:t>
      </w:r>
    </w:p>
    <w:p>
      <w:pPr>
        <w:spacing w:before="0"/>
        <w:ind w:left="131" w:right="125" w:firstLine="0"/>
        <w:jc w:val="both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Különleges védőfelszerelés a tűzoltók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tűzoltóknak önálló légzőkészüléket és megfelelő védőruházatot kell viselniük, ha fennáll a bomlástermékekkel való érintkezés veszélye.</w:t>
      </w:r>
    </w:p>
    <w:p>
      <w:pPr>
        <w:pStyle w:val="BodyText"/>
        <w:spacing w:before="1"/>
        <w:ind w:right="125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Különleges tűzoltási eljárások.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 lélegezze be a tűz által kibocsátott anyagokat. Vigye el a tartályokat a tűz területétől, ha ez kockázat nélkül megtehető. A bontatlan tartályokat vízköddel hűtse. A megfelelő mennyiségű vizet öntő hűtőtartályok és a tűz kialszik. Meg kell akadályozni, hogy az anyag a vízelvezető rendszerbe, felszíni vizekbe kerüljön.</w:t>
      </w:r>
    </w:p>
    <w:p>
      <w:pPr>
        <w:pStyle w:val="BodyText"/>
        <w:ind w:left="0"/>
        <w:rPr>
          <w:sz w:val="24"/>
        </w:rPr>
      </w:pPr>
    </w:p>
    <w:p>
      <w:pPr>
        <w:spacing w:before="191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674902pt;width:513.12pt;height:.48pt;mso-position-horizontal-relative:page;mso-position-vertical-relative:paragraph;z-index:-15726080;mso-wrap-distance-left:0;mso-wrap-distance-right:0" id="docshape9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6.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INTÉZKEDÉSEK VÉLETLENSZERŰ EXPOZÍCIÓNÁL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SZEMÉLYI ÓVINTÉZKEDÉSEK, EGYÉNI VÉDŐESZKÖZÖK ÉS VÉSZHELYZETI ELJÁRÁSOK</w:t>
      </w: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sürgősségi ellátást nyújtó személyzettől eltérő személyzet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Tartsa távol a szükségtelen személyzetet. Takarítás közben viseljen megfelelő védőfelszerelést és védőruházatot.</w:t>
      </w:r>
    </w:p>
    <w:p>
      <w:pPr>
        <w:spacing w:before="2"/>
        <w:ind w:left="131" w:right="82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sürgősségi ellátást nyújtó személyzet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Tartsa távol a szükségtelen személyzetet. Használja a biztonsági adatlap 8. szakaszában javasolt személyi védelmet.</w:t>
      </w:r>
    </w:p>
    <w:p>
      <w:pPr>
        <w:pStyle w:val="BodyText"/>
        <w:ind w:left="0"/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KÖRNYEZETVÉDELMI ÓVINTÉZKEDÉSEK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Kerülje el a talaj és a víz szennyeződését. Amennyiben biztonságosan megoldható, gondoskodjon a további szivárgás és kiömlés megakadályozásáról.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TERÜLETI ELHATÁROLÁS ÉS A SZENNYEZÉSMENTESÍTÉS MÓDSZEREI ÉS ANYAGAI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Megakadályozza a gőzfelhőt. Amennyiben biztonságosan megoldható, gondoskodjon a további szivárgás és kiömlés megakadályozásáról. Söpörje fel és lapátolja be a megfelelő tartályokba ártalmatlanításhoz. A megsemmisítés a helyi előírásoknak megfelelően történjen.</w:t>
      </w:r>
    </w:p>
    <w:p>
      <w:pPr>
        <w:pStyle w:val="BodyText"/>
        <w:ind w:left="0"/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HIVATKOZÁS MÁS SZAKASZOKRA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személyi védelemmel kapcsolatban lásd a 8. szakaszt. A hulladékkezeléssel kapcsolatban lásd a 13. fejezetet.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34897pt;width:513.12pt;height:.48pt;mso-position-horizontal-relative:page;mso-position-vertical-relative:paragraph;z-index:-15725568;mso-wrap-distance-left:0;mso-wrap-distance-right:0" id="docshape10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7.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KEZELÉS ÉS TÁROLÁS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BIZTONSÁGOS KEZELÉSRE IRÁNYULÓ ÓVINTÉZKEDÉSEK</w:t>
      </w:r>
    </w:p>
    <w:p>
      <w:pPr>
        <w:pStyle w:val="BodyText"/>
        <w:ind w:right="123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Biztonságos kezelésre irányuló tanácsok.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megfelelő egyéni védőfelszerelést (lásd 8. szakasz). Bőrre és szembe ne kerüljön. Tilos az étkezés, ivás és a dohányzás azokon a helyeken, ahol az anyag kezelése, tárolása és feldolgozása történik. Evés, ivás vagy dohányzás előtt az érintett munkatársaknak kezet kell mosniuk. Az étkezésre szolgáló területekre való belépés előtt távolítsa el a szennyezett ruházatot és védőeszközöket. A higiéniai intézkedésekre vonatkozó további információért lásd a 8. pontot is.</w:t>
      </w:r>
    </w:p>
    <w:p>
      <w:pPr>
        <w:spacing w:line="239" w:lineRule="exact" w:before="0"/>
        <w:ind w:left="131" w:right="0" w:firstLine="0"/>
        <w:jc w:val="both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Tűz- és robbanásveszély elleni tanácsok.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Hőtől távol tartandó. Gyújtóforrástól távol tartandó.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BIZTONSÁGOS TÁROLÁS FELTÉTELEI, AZ ESETLEGES ÖSSZEFÉRHETETLENSÉGGEL EGYÜTT</w:t>
      </w:r>
    </w:p>
    <w:p>
      <w:pPr>
        <w:pStyle w:val="BodyText"/>
        <w:spacing w:line="242" w:lineRule="auto"/>
        <w:ind w:right="128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tartályokat használaton kívül tartsa lezárva. Ne tárolja közvetlen napfényben. Tárolja környezeti hőmérsékleten és légköri nyomáson.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MEGHATÁROZOTT VÉGFELHASZNÁLÁS (VÉGFELHASZNÁLÁSOK)</w:t>
      </w:r>
    </w:p>
    <w:p>
      <w:pPr>
        <w:pStyle w:val="BodyText"/>
        <w:spacing w:line="241" w:lineRule="exact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Kozmetikai használatra.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74881pt;width:513.12pt;height:.48pt;mso-position-horizontal-relative:page;mso-position-vertical-relative:paragraph;z-index:-15725056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8.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EXPOZÍCIÓ ELLENŐRZÉSE/EGYÉNI VÉDELEM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KONTROL PARAMÉTEREK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Foglalkozási expozíciós határértékek.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összetevő(k)re nincsenek megjelölve foglalkozási expozíciós határértékek.</w:t>
      </w:r>
    </w:p>
    <w:p>
      <w:pPr>
        <w:spacing w:before="4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Biológiai határértékek.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alkotóelemeket illetően nincsenek meghatározott biológiai expozíciós határértékek.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Ajánlott ellenőrzési eljárások.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Kövesse a szabványos ellenőrzési eljárásokat.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EXPOZÍCIÓ ELLENŐRZÉSE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munkahelyen enni, inni, dohányozni tilos. Mosson kezet a szünetek előtt és a munkanap végén.</w:t>
      </w:r>
    </w:p>
    <w:p>
      <w:pPr>
        <w:pStyle w:val="Heading1"/>
        <w:spacing w:line="240" w:lineRule="auto" w:before="3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MEGFELELŐ MŰSZAKI ÓVINTÉZKEDÉSEK</w:t>
      </w:r>
    </w:p>
    <w:p>
      <w:pPr>
        <w:spacing w:after="0" w:line="240" w:lineRule="auto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pStyle w:val="BodyText"/>
        <w:spacing w:line="241" w:lineRule="exact"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Gondoskodjon megfelelő általános és helyi légelszívó berendezésekről.</w:t>
      </w:r>
    </w:p>
    <w:p>
      <w:pPr>
        <w:pStyle w:val="Heading1"/>
        <w:spacing w:line="240" w:lineRule="exact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EGYÉNI ÓVINTÉZKEDÉSEK, ÚGY MINT AZ EGYÉNI VÉDŐESZKÖZÖK</w:t>
      </w:r>
    </w:p>
    <w:p>
      <w:pPr>
        <w:pStyle w:val="BodyText"/>
        <w:ind w:right="123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előírt személyi védőfelszerelés használata kötelező. Tárolja elkülönítve a munkaruházatot. Az egyéni védőfelszerelést a CEN szabványoknak megfelelően és az egyéni védőeszköz szállítójával egyeztetve kell kiválasztani.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Szem-/arcvédelem.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az EN 166 szabvány által előírt védőszemüveget.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Bőrvédelem.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védőruházatot.</w:t>
      </w:r>
    </w:p>
    <w:p>
      <w:pPr>
        <w:spacing w:line="241" w:lineRule="exact" w:before="3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Kéz védelme.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védőkesztyűt (EN 374).</w:t>
      </w:r>
    </w:p>
    <w:p>
      <w:pPr>
        <w:pStyle w:val="BodyText"/>
        <w:ind w:right="121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Légutak védelme.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általános szellőzés általában megfelelő. Nem megfelelő szellőzés vagy a gőzök belélegzésének veszélye esetén megfelelő légzőkészüléket (légzőmaszk) kell használni. Kérjen tanácsot a helyi felügyelőtől (EN 149). </w:t>
      </w: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Hőveszélyek.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Nem vonatkozik.</w:t>
      </w:r>
    </w:p>
    <w:p>
      <w:pPr>
        <w:pStyle w:val="BodyText"/>
        <w:ind w:right="124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Higiéniai intézkedések.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Kezelje az anyagot a megfelelő ipari higiéniai és biztonsági gyakorlatnak megfelelően. Szemmosókút és vészzuhany használata javasolt. A szennyezett ruhát újbóli használat előtt ki kell mosni.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KÖRNYEZETVÉDELMET SZOLGÁLÓ SZABÁLYOZÁSOK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kiömléseket meg kell akadályozni, és a kibocsátást meg kell akadályozni, és be kell tartani a nemzeti kibocsátási előírásokat.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69pt;width:513.12pt;height:.48pt;mso-position-horizontal-relative:page;mso-position-vertical-relative:paragraph;z-index:-15724544;mso-wrap-distance-left:0;mso-wrap-distance-right:0" id="docshape12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9.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FIZIKAI ÉS KÉMIAI TULAJDONSÁGOK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9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ALAPVETŐ FIZIKAI ÉS KÉMIAI TULAJDONSÁGOKRA VONATKOZÓ INFORMÁCIÓ</w:t>
      </w:r>
    </w:p>
    <w:p>
      <w:pPr>
        <w:pStyle w:val="BodyText"/>
        <w:tabs>
          <w:tab w:pos="4019" w:val="left" w:leader="none"/>
        </w:tabs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FIZIKAI ÁLLAPOT: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Homogén folyékony szuszpenzió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SZÍN: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SZAG: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Semleges</w:t>
      </w:r>
    </w:p>
    <w:p>
      <w:pPr>
        <w:pStyle w:val="BodyText"/>
        <w:tabs>
          <w:tab w:pos="4019" w:val="left" w:leader="none"/>
        </w:tabs>
        <w:ind w:right="492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OLVADÁSPONT/FAGYÁSPONT: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 FORRÁSPONT VAGY KEZDETI FORRÁS</w:t>
      </w:r>
    </w:p>
    <w:p>
      <w:pPr>
        <w:pStyle w:val="BodyText"/>
        <w:tabs>
          <w:tab w:pos="4019" w:val="left" w:leader="none"/>
        </w:tabs>
        <w:spacing w:before="1"/>
        <w:ind w:right="4920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PONT ÉS FORRÁSI TARTOMÁNY: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GYÚLÉKONYSÁG (SZILÁRD, FOLYÉKONY, GÁZ): Nincs elérhető adat GYAKORLATI PONT: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ÖNGYÚJTÁSI HŐMÉRSÉKLET: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állnak rendelkezésre adatok BOMLÁSI HŐMÉRSÉKLET: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pH: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5,0-7,0</w:t>
      </w:r>
    </w:p>
    <w:p>
      <w:pPr>
        <w:pStyle w:val="BodyText"/>
        <w:tabs>
          <w:tab w:pos="4638" w:val="right" w:leader="none"/>
        </w:tabs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VISZKOZITÁS: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70-200</w:t>
      </w:r>
    </w:p>
    <w:p>
      <w:pPr>
        <w:pStyle w:val="BodyText"/>
        <w:tabs>
          <w:tab w:pos="4019" w:val="left" w:leader="none"/>
        </w:tabs>
        <w:spacing w:before="3"/>
        <w:ind w:right="428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OLDÉKONYSÁG: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Vízben részben oldható MEGOSZLÁSI HÁNYADOS</w:t>
      </w:r>
    </w:p>
    <w:p>
      <w:pPr>
        <w:pStyle w:val="BodyText"/>
        <w:tabs>
          <w:tab w:pos="4019" w:val="left" w:leader="none"/>
        </w:tabs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(N-OKTANOL/VÍZ):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spacing w:line="242" w:lineRule="auto"/>
        <w:ind w:right="4917"/>
        <w:rPr>
          <w:sz w:val="13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GŐZNYOMÁS: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 SŰRŰSÉG ÉS/VAGY RELATÍV SŰRŰSÉG: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1100-1500 g/cm3</w:t>
      </w:r>
    </w:p>
    <w:p>
      <w:pPr>
        <w:pStyle w:val="BodyText"/>
        <w:tabs>
          <w:tab w:pos="4019" w:val="left" w:leader="none"/>
        </w:tabs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RELATÍV GŐZSŰRŰSÉG: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ROBBANÁSVESZÉLYI TULAJDONSÁGOK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robbanásveszélyes</w:t>
      </w:r>
    </w:p>
    <w:p>
      <w:pPr>
        <w:pStyle w:val="BodyText"/>
        <w:tabs>
          <w:tab w:pos="4019" w:val="left" w:leader="none"/>
        </w:tabs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OXIDÁLÓ TULAJDONSÁGOK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RÉSZÉK JELLEMZŐI: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9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</w:t>
      </w:r>
    </w:p>
    <w:p>
      <w:pPr>
        <w:pStyle w:val="ListParagraph"/>
        <w:numPr>
          <w:ilvl w:val="2"/>
          <w:numId w:val="9"/>
        </w:numPr>
        <w:tabs>
          <w:tab w:pos="760" w:val="left" w:leader="none"/>
        </w:tabs>
        <w:spacing w:line="240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fizikai veszélyességi osztályokra vonatkozó információk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2"/>
          <w:numId w:val="9"/>
        </w:numPr>
        <w:tabs>
          <w:tab w:pos="760" w:val="left" w:leader="none"/>
        </w:tabs>
        <w:spacing w:line="241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biztonsági jellemzők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további információ.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9pt;width:513.12pt;height:.48pt;mso-position-horizontal-relative:page;mso-position-vertical-relative:paragraph;z-index:-15724032;mso-wrap-distance-left:0;mso-wrap-distance-right:0" id="docshape13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10.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STABILITÁS ÉS REAKCIÓKÉSZSÉG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REAKCIÓKÉSZSÉG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normál használati, tárolási és szállítási körülmények között nem reaktív.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KÉMIAI STABILITÁS</w:t>
      </w:r>
    </w:p>
    <w:p>
      <w:pPr>
        <w:spacing w:after="0" w:line="240" w:lineRule="auto"/>
        <w:jc w:val="lef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pStyle w:val="BodyText"/>
        <w:spacing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Normál körülmények között stabil.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VESZÉLYES REAKCIÓK LEHETŐSÉGE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további információ.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KERÜLENDŐ KÖRÜLMÉNYEK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Magas hőmérséklet és gyújtóforrások.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NEM ÖSSZEFÉRHETŐ ANYAGOK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VESZÉLYES BOMLÁSTERMÉKEK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Veszélyes füstöket képezhet, mint például szén-monoxid, szén-dioxid stb.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86pt;width:513.12pt;height:.48pt;mso-position-horizontal-relative:page;mso-position-vertical-relative:paragraph;z-index:-15723520;mso-wrap-distance-left:0;mso-wrap-distance-right:0" id="docshape14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11.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TOXIKOLÓGIAI INFORMÁCIÓ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ListParagraph"/>
        <w:numPr>
          <w:ilvl w:val="1"/>
          <w:numId w:val="11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1272/2008/EK rendeletben meghatározott veszélyességi osztályokra vonatkozó információk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Akut toxicitás: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termékre vonatkozó adatok nem állnak rendelkezésre.</w:t>
      </w:r>
    </w:p>
    <w:p>
      <w:pPr>
        <w:pStyle w:val="BodyText"/>
        <w:spacing w:before="2"/>
        <w:ind w:left="0"/>
      </w:pP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Összetevőkkel kapcsolatos adatok: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Glicerin, CAS-szám: 106-50-3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orális toxicitás: LD50 – 27200 mg/kg (patkány);</w:t>
      </w:r>
    </w:p>
    <w:p>
      <w:pPr>
        <w:pStyle w:val="BodyText"/>
        <w:spacing w:before="4"/>
        <w:ind w:right="433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5850 mg/l/4 óra (aeroszol) (patkány); Akut dermális toxicitás: LD50 – 45 ml/kg/24h (tengerimalac).</w:t>
      </w:r>
    </w:p>
    <w:p>
      <w:pPr>
        <w:pStyle w:val="BodyText"/>
        <w:ind w:left="0"/>
      </w:pP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Vas-hidroxid oxid-sárga, CAS sz.) 51274-00-1: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orális toxicitás: LD50 – &gt;10000 mg/kg (patkány);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5,05 mg/l/4h (aeroszol) (patkány).</w:t>
      </w:r>
    </w:p>
    <w:p>
      <w:pPr>
        <w:pStyle w:val="BodyText"/>
        <w:spacing w:before="2"/>
        <w:ind w:left="0"/>
      </w:pPr>
    </w:p>
    <w:p>
      <w:pPr>
        <w:pStyle w:val="BodyText"/>
        <w:ind w:right="457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Trinátrium-5-hidroxi-1-(4-szulfofenil)-4-(4-szulfofenilazo)pirazol-3-karboxilát, CAS-szám 1934-21-0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: Akut orális toxicitás: LD50 – &gt;1000 mg/kg (egér).</w:t>
      </w:r>
    </w:p>
    <w:p>
      <w:pPr>
        <w:pStyle w:val="BodyText"/>
        <w:spacing w:before="1"/>
        <w:ind w:left="0"/>
      </w:pP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Vas(III)-oxid, CAS-szám: 1309-37-1: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orális toxicitás: LD50 – &gt;10000 mg/kg (patkány);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5,05 mg/l/4h (aeroszol) (patkány).</w:t>
      </w:r>
    </w:p>
    <w:p>
      <w:pPr>
        <w:pStyle w:val="BodyText"/>
        <w:spacing w:before="2"/>
        <w:ind w:left="0"/>
      </w:pP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Króm(III)-oxid, CAS-szám 1308-38-9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orális toxicitás: LD50 – &gt;5000 mg/kg (patkány);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&gt;5,41 mg/l/4h (aeroszol) (patkány).</w:t>
      </w:r>
    </w:p>
    <w:p>
      <w:pPr>
        <w:pStyle w:val="BodyText"/>
        <w:spacing w:before="2"/>
        <w:ind w:left="0"/>
      </w:pP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Bőrkorrózió/bőrirritáció.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Súlyos szemsérülés/szemirritáció.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1" w:lineRule="exact" w:before="3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Légzőszervi vagy bőrszenzibilizáció.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Csírasejt-mutagenitás.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auto" w:before="0"/>
        <w:ind w:left="131" w:right="6334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Rákkeltő hatás.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Reproduciós toxicitás.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STOT – egyszeri expozíció.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STOT – ismétlődő expozíció.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Aspirációs veszély.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11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VESZÉLYEKRE VONATKOZÓ INFORMÁCIÓ</w:t>
      </w:r>
    </w:p>
    <w:p>
      <w:pPr>
        <w:pStyle w:val="ListParagraph"/>
        <w:numPr>
          <w:ilvl w:val="2"/>
          <w:numId w:val="11"/>
        </w:numPr>
        <w:tabs>
          <w:tab w:pos="887" w:val="left" w:leader="none"/>
        </w:tabs>
        <w:spacing w:line="240" w:lineRule="exact" w:before="0" w:after="0"/>
        <w:ind w:left="887" w:right="0" w:hanging="756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Endokrinkárosító tulajdonságok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2"/>
          <w:numId w:val="11"/>
        </w:numPr>
        <w:tabs>
          <w:tab w:pos="887" w:val="left" w:leader="none"/>
        </w:tabs>
        <w:spacing w:line="241" w:lineRule="exact" w:before="3" w:after="0"/>
        <w:ind w:left="887" w:right="0" w:hanging="756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spacing w:after="0" w:line="241" w:lineRule="exac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"/>
        <w:ind w:left="0"/>
        <w:rPr>
          <w:sz w:val="22"/>
        </w:rPr>
      </w:pPr>
    </w:p>
    <w:p>
      <w:pPr>
        <w:spacing w:before="1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13.174882pt;width:513.12pt;height:.48pt;mso-position-horizontal-relative:page;mso-position-vertical-relative:paragraph;z-index:-15723008;mso-wrap-distance-left:0;mso-wrap-distance-right:0" id="docshape15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12.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ÖKOLÓGIAI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TOXICITÁS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termékre vonatkozó adatok nem állnak rendelkezésre.</w:t>
      </w:r>
    </w:p>
    <w:p>
      <w:pPr>
        <w:pStyle w:val="BodyText"/>
        <w:spacing w:before="2"/>
        <w:ind w:left="0"/>
      </w:pP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Összetevőkkel kapcsolatos adatok: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Glicerin, CAS-szám: 106-50-3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</w:p>
    <w:p>
      <w:pPr>
        <w:pStyle w:val="BodyText"/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halakhoz: 885 mg/l/96 óra (Salmo gairdneri);</w:t>
      </w:r>
    </w:p>
    <w:p>
      <w:pPr>
        <w:pStyle w:val="BodyText"/>
        <w:ind w:right="428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tengeri halakhoz: 885 mg/l/96h (Cyprinodon variegatus); NOEC: 9471,097 mg/l/30 nap;</w:t>
      </w:r>
    </w:p>
    <w:p>
      <w:pPr>
        <w:pStyle w:val="BodyText"/>
        <w:spacing w:line="242" w:lineRule="auto"/>
        <w:ind w:right="381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édesvízi gerinctelenekre: 1955 mg/l/48 óra (Daphnia magna); Édesvízi algák EC50: 2900 mg/l/8d (Scenedesmus quadricauda).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Vas-hidroxid oxid-sárga, CAS sz.) 51274-00-1:</w:t>
      </w:r>
    </w:p>
    <w:p>
      <w:pPr>
        <w:pStyle w:val="BodyText"/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 esetében: ≥100000 mg/l/96h (Danio rerio);</w:t>
      </w:r>
    </w:p>
    <w:p>
      <w:pPr>
        <w:pStyle w:val="BodyText"/>
        <w:ind w:right="381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édesvízi gerincteleneknél: ≥100 mg/l/48h (Daphnia magna); NOEC: ≥20 mg/l/21 nap (Daphnia magna);</w:t>
      </w:r>
    </w:p>
    <w:p>
      <w:pPr>
        <w:pStyle w:val="BodyText"/>
        <w:spacing w:line="239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Édesvízi algák EC50 értéke: ≥20 mg/l/72h (Pseudokirchneriella subcapitata).</w:t>
      </w:r>
    </w:p>
    <w:p>
      <w:pPr>
        <w:pStyle w:val="BodyText"/>
        <w:spacing w:before="1"/>
        <w:ind w:left="0"/>
      </w:pPr>
    </w:p>
    <w:p>
      <w:pPr>
        <w:pStyle w:val="BodyText"/>
        <w:ind w:right="457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Trinátrium-5-hidroxi-1-(4-szulfofenil)-4-(4-szulfofenilazo)pirazol-3-karboxilát, CAS-szám 1934-21-0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: LC50 édesvízi halakra: &gt;125 mg/l/96h (Leuciscus idus);</w:t>
      </w:r>
    </w:p>
    <w:p>
      <w:pPr>
        <w:pStyle w:val="BodyText"/>
        <w:spacing w:before="2"/>
        <w:ind w:right="428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édesvízi gerinctelenekre: &gt;125 mg/l/48h (Daphnia sp.); EC50 édesvízi algákra: 125 mg/l/72 óra.</w:t>
      </w:r>
    </w:p>
    <w:p>
      <w:pPr>
        <w:pStyle w:val="BodyText"/>
        <w:ind w:left="0"/>
      </w:pP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Vas(III)-oxid, CAS-szám: 1309-37-1: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 esetében: ≥50000 mg/l/96h (Danio rerio);</w:t>
      </w:r>
    </w:p>
    <w:p>
      <w:pPr>
        <w:pStyle w:val="BodyText"/>
        <w:ind w:right="381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édesvízi gerincteleneknél: &gt;100 mg/l/48h (Daphnia magna); NOEC: ≥20 mg/l/21 nap (Daphnia magna);</w:t>
      </w:r>
    </w:p>
    <w:p>
      <w:pPr>
        <w:pStyle w:val="BodyText"/>
        <w:spacing w:before="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Édesvízi algák EC50 értéke: &gt;20 mg/l/72h (Pseudokirchneriella subcapitata).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Króm(III)-oxid, CAS-szám 1308-38-9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:</w:t>
      </w:r>
    </w:p>
    <w:p>
      <w:pPr>
        <w:pStyle w:val="BodyText"/>
        <w:spacing w:before="3"/>
        <w:ind w:right="521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 esetében: &gt;10000 mg/l/96h (Danio rerio); EC50 édesvízi gerinctelenekre: 3,71 mg Cr/l/48 óra; EC50 édesvízi algákra: 9,9 mg Cr/l/72 óra.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LEBOMLÁS ÉS MEGMARADÁS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BIOAKKUMULÁCIÓS KÉPESSÉG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TALAJBAN VALÓ MOBILITÁS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Mobilitás.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PBT ÉS vPvB ÉRTÉKELÉS EREDMÉNYEI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PBT vagy vPvB anyag, illetve keverék.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ENDOKRINOLÓGIAILAG KÁROSÍTÓ TULAJDONSÁGOK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KÁROS HATÁSOK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Jelentős hatás vagy kritikus veszélyt okozó hatás nem ismert.</w:t>
      </w:r>
    </w:p>
    <w:p>
      <w:pPr>
        <w:spacing w:after="0" w:line="241" w:lineRule="exac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spacing w:before="102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17.984882pt;width:513.12pt;height:.48pt;mso-position-horizontal-relative:page;mso-position-vertical-relative:paragraph;z-index:-15722496;mso-wrap-distance-left:0;mso-wrap-distance-right:0" id="docshape16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13.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ÁRTALMATLANÍTÁSI SZEMPONTOK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13"/>
        </w:numPr>
        <w:tabs>
          <w:tab w:pos="982" w:val="left" w:leader="none"/>
          <w:tab w:pos="983" w:val="left" w:leader="none"/>
        </w:tabs>
        <w:spacing w:line="240" w:lineRule="auto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HULLADÉKKEZELÉSI MÓDSZEREK</w:t>
      </w:r>
    </w:p>
    <w:p>
      <w:pPr>
        <w:pStyle w:val="BodyText"/>
        <w:spacing w:before="9"/>
        <w:ind w:left="0"/>
        <w:rPr>
          <w:b/>
          <w:sz w:val="19"/>
        </w:rPr>
      </w:pPr>
    </w:p>
    <w:p>
      <w:pPr>
        <w:pStyle w:val="BodyText"/>
        <w:spacing w:line="241" w:lineRule="exac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Maradék hulladék.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tartalom/tartály ártalmatlanítása a helyi/regionális/nemzeti/nemzetközi előírásoknak megfelelően.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Szennyezett csomagolás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spacing w:line="241" w:lineRule="exact" w:before="4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EU hulladékkód.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Ártalmatlanítási módszerek/információk.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ártalmatlanítás előtt tekintse át a szövetségi, állami/tartományi és helyi önkormányzati követelményeket.</w:t>
      </w:r>
    </w:p>
    <w:p>
      <w:pPr>
        <w:pStyle w:val="BodyText"/>
        <w:ind w:left="0"/>
        <w:rPr>
          <w:sz w:val="24"/>
        </w:rPr>
      </w:pPr>
    </w:p>
    <w:p>
      <w:pPr>
        <w:spacing w:before="191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67491pt;width:513.12pt;height:.48pt;mso-position-horizontal-relative:page;mso-position-vertical-relative:paragraph;z-index:-15721984;mso-wrap-distance-left:0;mso-wrap-distance-right:0" id="docshape17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14.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SZÁLLÍTÁSRA VONATKOZÓ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BodyText"/>
        <w:spacing w:before="10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Szállítás csak az ADR -nek megfelelően a közúti szállításhoz, a vasúti szállításhoz, az ADNR/IMDG pedig hajón/tengeren és IATA -hoz történő szállításhoz.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UN-szám vagy azonosító szám.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ENSZ szerinti megfelelő szállítási megnevezés.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Szállítási veszélyességi osztály(ok).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3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Csomagolási csoport.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Környezeti veszélyek.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2" w:lineRule="auto" w:before="0" w:after="0"/>
        <w:ind w:left="982" w:right="125" w:hanging="851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felhasználót érintő különleges óvintézkedések.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Használat előtt olvassa el a biztonsági adatlap biztonsági utasításait és a vészhelyzeti eljárásokat.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39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IMO-szabályok szerinti tengeri ömlesztett szállítás.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vonatkozik.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34895pt;width:513.12pt;height:.48pt;mso-position-horizontal-relative:page;mso-position-vertical-relative:paragraph;z-index:-15721472;mso-wrap-distance-left:0;mso-wrap-distance-right:0" id="docshape18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15.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SZABÁLYOZÁSSAL KAPCSOLATOS INFORMÁCIÓK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15"/>
        </w:numPr>
        <w:tabs>
          <w:tab w:pos="982" w:val="left" w:leader="none"/>
          <w:tab w:pos="983" w:val="left" w:leader="none"/>
        </w:tabs>
        <w:spacing w:line="240" w:lineRule="auto" w:before="102" w:after="0"/>
        <w:ind w:left="131" w:right="125" w:firstLine="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ADOTT ANYAGGAL VAGY KEVERÉKKEL KAPCSOLATOS BIZTONSÁGI, EGÉSZSÉGÜGYI ÉS KÖRNYEZETVÉDELMI ELŐÍRÁSOK/JOGSZABÁLYOK</w:t>
      </w:r>
    </w:p>
    <w:p>
      <w:pPr>
        <w:pStyle w:val="ListParagraph"/>
        <w:numPr>
          <w:ilvl w:val="2"/>
          <w:numId w:val="15"/>
        </w:numPr>
        <w:tabs>
          <w:tab w:pos="312" w:val="left" w:leader="none"/>
        </w:tabs>
        <w:spacing w:line="240" w:lineRule="auto" w:before="0" w:after="0"/>
        <w:ind w:left="131" w:right="121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Európai Parlament és a Tanács 1907/2006/EK rendelete (2006. december 18.) a vegyi anyagok regisztrálásáról, értékeléséről, engedélyezéséről és korlátozásáról (REACH), az Európai Vegyianyag-ügynökség létrehozásáról, az 1999/45/EK irányelv módosításáról, ill. a 793/93/EGK tanácsi rendelet, az 1488/94/EK bizottsági rendelet, a 76/769/EGK tanácsi irányelv és a 91/155/EGK, 93/67/EGK, 93/105/EK bizottsági irányelvek hatályon kívül helyezéséről és 2000/21/EK (az Európai Unió Hivatalos Lapja L 396. szám, 2006.12.30., hibajavítás – L 136/3. szám, 2007-5-29);</w:t>
      </w:r>
    </w:p>
    <w:p>
      <w:pPr>
        <w:pStyle w:val="ListParagraph"/>
        <w:numPr>
          <w:ilvl w:val="2"/>
          <w:numId w:val="15"/>
        </w:numPr>
        <w:tabs>
          <w:tab w:pos="329" w:val="left" w:leader="none"/>
        </w:tabs>
        <w:spacing w:line="240" w:lineRule="auto" w:before="0" w:after="0"/>
        <w:ind w:left="131" w:right="124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BIZOTTSÁG (EU) 2020/878 RENDELETE (2020. június 18.) a vegyi anyagok regisztrálásáról, értékeléséről, engedélyezéséről és korlátozásáról szóló 1907/2006/EK európai parlamenti és tanácsi rendelet (REACH) módosításáról (HL L 203., 6.26.) .2020, 28–58.);</w:t>
      </w:r>
    </w:p>
    <w:p>
      <w:pPr>
        <w:pStyle w:val="ListParagraph"/>
        <w:numPr>
          <w:ilvl w:val="2"/>
          <w:numId w:val="15"/>
        </w:numPr>
        <w:tabs>
          <w:tab w:pos="329" w:val="left" w:leader="none"/>
        </w:tabs>
        <w:spacing w:line="240" w:lineRule="auto" w:before="0" w:after="0"/>
        <w:ind w:left="131" w:right="122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2008. december 16-án aláírták az Európai Parlament és a Tanács 1272/2008/EK rendeletét a vegyi anyagok és keverékek osztályozásáról, címkézéséről és csomagolásáról. Az említett rendelet módosította és hatályon kívül helyezte a 67/548/EEK és az 1999/45/EK irányelveket, valamint az 1907/2006/EK szabályozását. A rendeletet az Európai Unió Hivatalos folyóiratában, L 353, 51. kötet, 2008. december 31 -én tették közzé;</w:t>
      </w:r>
    </w:p>
    <w:p>
      <w:pPr>
        <w:pStyle w:val="ListParagraph"/>
        <w:numPr>
          <w:ilvl w:val="2"/>
          <w:numId w:val="15"/>
        </w:numPr>
        <w:tabs>
          <w:tab w:pos="337" w:val="left" w:leader="none"/>
        </w:tabs>
        <w:spacing w:line="240" w:lineRule="auto" w:before="0" w:after="0"/>
        <w:ind w:left="131" w:right="123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BIZOTTSÁG (EU) 2016/918 RENDELETE (2016. május 19.) az anyagok osztályozásáról, címkézéséről és csomagolásáról szóló 1272/2008/EK európai parlamenti és tanácsi rendeletnek a műszaki és tudományos fejlődéshez történő hozzáigazítása céljából módosításáról és keverékek. A rendeletet 2016. június 14 -én tették közzé az Európai Unió Hivatalos folyóiratában;</w:t>
      </w:r>
    </w:p>
    <w:p>
      <w:pPr>
        <w:pStyle w:val="ListParagraph"/>
        <w:numPr>
          <w:ilvl w:val="2"/>
          <w:numId w:val="15"/>
        </w:numPr>
        <w:tabs>
          <w:tab w:pos="304" w:val="left" w:leader="none"/>
        </w:tabs>
        <w:spacing w:line="241" w:lineRule="exact" w:before="0" w:after="0"/>
        <w:ind w:left="303" w:right="0" w:hanging="173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EURÓPAI PARLAMENT ÉS A TANÁCS 1223/2009/EK RENDELETE (2009. november 30.)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kozmetikai termékekről (HL L 342., 2009.12.22., 59. o.);</w:t>
      </w:r>
    </w:p>
    <w:p>
      <w:pPr>
        <w:pStyle w:val="ListParagraph"/>
        <w:numPr>
          <w:ilvl w:val="2"/>
          <w:numId w:val="15"/>
        </w:numPr>
        <w:tabs>
          <w:tab w:pos="304" w:val="left" w:leader="none"/>
        </w:tabs>
        <w:spacing w:line="241" w:lineRule="exact" w:before="0" w:after="0"/>
        <w:ind w:left="303" w:right="0" w:hanging="173"/>
        <w:jc w:val="left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veszélyes áruk közúton történő nemzetközi szállításával kapcsolatos európai megállapodás (ADR).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5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KÉMIAI BIZTONSÁGI ÉRTÉKELÉS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Ennél a terméknél nem végeztek kémiai biztonsági értékelést.</w:t>
      </w:r>
    </w:p>
    <w:p>
      <w:pPr>
        <w:spacing w:after="0" w:line="241" w:lineRule="exac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spacing w:before="102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17.984882pt;width:513.12pt;height:.48pt;mso-position-horizontal-relative:page;mso-position-vertical-relative:paragraph;z-index:-15720960;mso-wrap-distance-left:0;mso-wrap-distance-right:0" id="docshape19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16.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INFORMÁCIÓK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16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VÁLTOZÁSOK JELZÉSE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1907/2006/EK rendeletben és a 2020/878 rendeletben foglalt információk.</w:t>
      </w:r>
    </w:p>
    <w:p>
      <w:pPr>
        <w:spacing w:line="240" w:lineRule="auto" w:before="0"/>
        <w:ind w:left="131" w:right="7498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Változások jelzése: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–. Kitöltés dátuma: 2022-01-25 Felülvizsgálat: –</w:t>
      </w: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Verzió szám: 1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6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VESZÉLYESSÉGI ÉS ÓVINTÉZKEDÉSEK TELJES SZÖVEGE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Kiegészítő címkeinformáció: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2"/>
        <w:ind w:left="0"/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Rövidítések: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2"/>
        <w:ind w:left="0"/>
      </w:pP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Rövidítések: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ADR - a Veszélyes Áruk Nemzetközi Közúti Szállításáról szóló Európai Megállapodás</w:t>
      </w:r>
    </w:p>
    <w:p>
      <w:pPr>
        <w:pStyle w:val="BodyText"/>
        <w:ind w:right="45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ADN – Európai megállapodás a veszélyes áruk nemzetközi belvízi szállításáról. RID – A veszélyes áruk nemzetközi vasúti szállítására vonatkozó szabályok.</w:t>
      </w:r>
    </w:p>
    <w:p>
      <w:pPr>
        <w:pStyle w:val="BodyText"/>
        <w:spacing w:before="2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IMDG – Nemzetközi Tengerészeti Veszélyes Áruk. IATA - Nemzetközi Légi Szállítási Szövetség.</w:t>
      </w:r>
    </w:p>
    <w:p>
      <w:pPr>
        <w:pStyle w:val="BodyText"/>
        <w:spacing w:line="239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IMO – Nemzetközi Tengerészeti Szervezet.</w:t>
      </w:r>
    </w:p>
    <w:p>
      <w:pPr>
        <w:pStyle w:val="BodyText"/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vPvB - Nagyon perzisztens és nagyon bioakkumulatív</w:t>
      </w:r>
    </w:p>
    <w:p>
      <w:pPr>
        <w:pStyle w:val="BodyText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PBT - perzisztens, bioakkumulatív és toxikus anyag. LC50 - Halálos koncentráció a vizsgált populáció 50%-ánál.</w:t>
      </w:r>
    </w:p>
    <w:p>
      <w:pPr>
        <w:pStyle w:val="BodyText"/>
        <w:spacing w:line="241" w:lineRule="exact" w:before="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LD50 -Halálos dózis a vizsgált populáció 50%-ánál (átlagos halálos dózis).</w:t>
      </w:r>
    </w:p>
    <w:p>
      <w:pPr>
        <w:pStyle w:val="BodyText"/>
        <w:ind w:right="125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– Hatásos koncentráció a vizsgált populáció 50%-ára (a maximális hatásos koncentráció fele). IC50 – Gátlási koncentráció a tesztpopuláció 50%-ára (a maximális gátló koncentráció fele). CAS – Chemical Abstracts Service number.</w:t>
      </w:r>
    </w:p>
    <w:p>
      <w:pPr>
        <w:pStyle w:val="BodyText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CEN – Európai Szabványügyi Bizottság. STOT – Célszervi toxicitás.</w:t>
      </w:r>
    </w:p>
    <w:p>
      <w:pPr>
        <w:pStyle w:val="BodyText"/>
        <w:spacing w:line="239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PNEC - Becsült hatásmentes koncentráció</w:t>
      </w:r>
    </w:p>
    <w:p>
      <w:pPr>
        <w:pStyle w:val="BodyText"/>
        <w:spacing w:before="4"/>
        <w:ind w:right="350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ACGIH – A foglalkozás- és környezetegészségügyet előmozdító egyesület. NIOSH – Országos Munkahelyi Biztonsági és Egészségvédelmi Intézet.</w:t>
      </w:r>
    </w:p>
    <w:p>
      <w:pPr>
        <w:pStyle w:val="BodyText"/>
        <w:spacing w:line="237" w:lineRule="auto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NOEC – Nincs hatásos koncentráció. SDS - Biztonsági adatlap.</w:t>
      </w:r>
    </w:p>
    <w:p>
      <w:pPr>
        <w:pStyle w:val="BodyText"/>
        <w:spacing w:before="2"/>
        <w:ind w:left="0"/>
      </w:pPr>
    </w:p>
    <w:p>
      <w:pPr>
        <w:pStyle w:val="Heading1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FŐBB FELHASZNÁLT FORRÁSMUNKÁK:</w:t>
      </w:r>
    </w:p>
    <w:p>
      <w:pPr>
        <w:pStyle w:val="BodyText"/>
        <w:spacing w:line="242" w:lineRule="auto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- Az Európai Vegyianyag Iroda (ECB), az Európai Vegyianyag Ügynökség (ECHA), a Svéd Vegyianyag Ügynökség (KEMI), a Nemzetközi Laboratóriumok Szervezete (ILO), a TOXNET internetes oldalak által szolgáltatott adatok.</w:t>
      </w:r>
    </w:p>
    <w:p>
      <w:pPr>
        <w:pStyle w:val="BodyText"/>
        <w:spacing w:before="7"/>
        <w:ind w:left="0"/>
        <w:rPr>
          <w:sz w:val="19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Felelősségkorlátozási nyilatkozat</w:t>
      </w:r>
    </w:p>
    <w:p>
      <w:pPr>
        <w:pStyle w:val="BodyText"/>
        <w:spacing w:before="4"/>
        <w:ind w:right="119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információ legjobb tudásunk szerint az SDS közzétételének időpontjában helyes. Ez nem egy specifikációs lap, és a megjelenített adatok sem tekinthetők specifikációnak. A jelen anyagbiztonsági adatlapon feltüntetett biztonsági információk általunk megbízhatónak ítélt forrásokból származnak. Az információkat azonban a helyességére vonatkozó kifejezett vagy hallgatólagos garancia nélkül adjuk. Egyes itt bemutatott információk és levont következtetések nem a termékre vonatkozó közvetlen tesztadatoktól származnak. A termék kezelésének, tárolásának, felhasználásának és ártalmatlanításának feltételei és módszerei ellenőrzésünkön kívül esnek, és meghaladhatják ismereteinket. Emiatt és egyéb okokból nem vállalunk felelősséget és kifejezetten elhárítjuk a felelősséget a termék kezeléséből, tárolásából, használatából vagy ártalmatlanításából eredő vagy azzal bármilyen módon összefüggő veszteségekért, károkért vagy költségekért. Ha a terméket egy másik termék összetevőjeként használják, előfordulhat, hogy ez az SDS-információ nem alkalmazható.</w:t>
      </w:r>
    </w:p>
    <w:sectPr>
      <w:pgSz w:w="11910" w:h="16840"/>
      <w:pgMar w:header="585" w:footer="0" w:top="2300" w:bottom="280" w:left="10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bidi w:val="0"/>
    </w:pP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rect style="position:absolute;margin-left:56.1506pt;margin-top:114.710571pt;width:513.12pt;height:.48pt;mso-position-horizontal-relative:page;mso-position-vertical-relative:page;z-index:-16034304" id="docshape1" filled="true" fillcolor="#000000" stroked="false">
          <v:fill type="solid"/>
          <w10:wrap type="none"/>
        </v:rect>
      </w:pict>
    </w: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590694pt;margin-top:28.265648pt;width:380.7pt;height:38.450pt;mso-position-horizontal-relative:page;mso-position-vertical-relative:page;z-index:-16033792" type="#_x0000_t202" id="docshape2" filled="false" stroked="false">
          <v:textbox inset="0,0,0,0">
            <w:txbxContent>
              <w:p>
                <w:pPr>
                  <w:spacing w:line="241" w:lineRule="exact" w:before="21"/>
                  <w:ind w:left="20" w:right="0" w:firstLine="0"/>
                  <w:jc w:val="left"/>
                  <w:rPr>
                    <w:b/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BIZTONSÁGI ADATLAP</w:t>
                </w:r>
              </w:p>
              <w:p>
                <w:pPr>
                  <w:pStyle w:val="BodyText"/>
                  <w:spacing w:line="241" w:lineRule="exact"/>
                  <w:ind w:left="20"/>
                  <w:bidi w:val="0"/>
                </w:pP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Az Európai Bizottság (EU) 2020/878 rendelet II. melléklete szerint készült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TERMÉK: 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Pigment tartós sminkhez</w:t>
                </w:r>
              </w:p>
            </w:txbxContent>
          </v:textbox>
          <w10:wrap type="none"/>
        </v:shape>
      </w:pict>
    </w: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shape style="position:absolute;margin-left:442.213013pt;margin-top:64.505646pt;width:126.75pt;height:50.45pt;mso-position-horizontal-relative:page;mso-position-vertical-relative:page;z-index:-16033280" type="#_x0000_t202" id="docshape3" filled="false" stroked="false">
          <v:textbox inset="0,0,0,0">
            <w:txbxContent>
              <w:p>
                <w:pPr>
                  <w:spacing w:line="241" w:lineRule="exact" w:before="21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Kitöltés dátuma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: 25 01 2022</w:t>
                </w:r>
              </w:p>
              <w:p>
                <w:pPr>
                  <w:spacing w:line="241" w:lineRule="exact" w:before="0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Legutóbbi felülvizsgálat dátuma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: -</w:t>
                </w:r>
              </w:p>
              <w:p>
                <w:pPr>
                  <w:spacing w:line="241" w:lineRule="exact" w:before="4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Verzió: 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1</w:t>
                </w:r>
              </w:p>
              <w:p>
                <w:pPr>
                  <w:pStyle w:val="BodyText"/>
                  <w:spacing w:line="241" w:lineRule="exact"/>
                  <w:ind w:left="0" w:right="18"/>
                  <w:jc w:val="right"/>
                  <w:bidi w:val="0"/>
                </w:pP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begin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instrText> PAGE </w:instrText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separate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1</w:t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end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/ 9 oldal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6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5"/>
      <w:numFmt w:val="decimal"/>
      <w:lvlText w:val="%1"/>
      <w:lvlJc w:val="left"/>
      <w:pPr>
        <w:ind w:left="131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1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–"/>
      <w:lvlJc w:val="left"/>
      <w:pPr>
        <w:ind w:left="131" w:hanging="180"/>
      </w:pPr>
      <w:rPr>
        <w:rFonts w:hint="default" w:ascii="Tahoma" w:hAnsi="Tahoma" w:eastAsia="Tahoma" w:cs="Tahoma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7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5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7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0" w:hanging="18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4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3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887" w:hanging="756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7" w:hanging="7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1" w:hanging="7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5" w:hanging="7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9" w:hanging="7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3" w:hanging="7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7" w:hanging="75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59" w:hanging="629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7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1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5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9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3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7" w:hanging="629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921" w:hanging="79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21" w:hanging="79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9" w:hanging="7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3" w:hanging="7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8" w:hanging="7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2" w:hanging="7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7" w:hanging="7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1" w:hanging="7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6" w:hanging="79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59" w:hanging="628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4" w:hanging="6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1" w:hanging="6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9" w:hanging="6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6" w:hanging="6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3" w:hanging="6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0" w:hanging="62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31"/>
    </w:pPr>
    <w:rPr>
      <w:rFonts w:ascii="Tahoma" w:hAnsi="Tahoma" w:eastAsia="Tahoma" w:cs="Tahom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41" w:lineRule="exact"/>
      <w:ind w:left="982" w:hanging="852"/>
      <w:outlineLvl w:val="1"/>
    </w:pPr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7"/>
      <w:ind w:left="3777" w:right="3773"/>
      <w:jc w:val="center"/>
    </w:pPr>
    <w:rPr>
      <w:rFonts w:ascii="Tahoma" w:hAnsi="Tahoma" w:eastAsia="Tahoma" w:cs="Tahom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1" w:lineRule="exact"/>
      <w:ind w:left="982" w:hanging="852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7" w:lineRule="exact"/>
      <w:ind w:left="71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theme" Target="theme/theme1.xml" /><Relationship Id="rId4" Type="http://schemas.openxmlformats.org/officeDocument/2006/relationships/settings" Target="settings.xml" /><Relationship Id="rId5" Type="http://schemas.openxmlformats.org/officeDocument/2006/relationships/header" Target="header1.xml" /><Relationship Id="rId6" Type="http://schemas.openxmlformats.org/officeDocument/2006/relationships/hyperlink" TargetMode="External" Target="mailto:darveks@gmail.com" /><Relationship Id="rId7" Type="http://schemas.openxmlformats.org/officeDocument/2006/relationships/numbering" Target="numbering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Brick.docx</dc:title>
  <dcterms:created xsi:type="dcterms:W3CDTF">2023-02-28T14:27:23Z</dcterms:created>
  <dcterms:modified xsi:type="dcterms:W3CDTF">2023-02-28T14:27:23Z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Word</vt:lpwstr>
  </property>
  <property fmtid="{D5CDD505-2E9C-101B-9397-08002B2CF9AE}" pid="4" name="LastSaved">
    <vt:filetime>2023-02-28T00:00:00Z</vt:filetime>
  </property>
  <property fmtid="{D5CDD505-2E9C-101B-9397-08002B2CF9AE}" pid="5" name="Producer">
    <vt:lpwstr>macOS Версия 11.0.1 (Выпуск 20B29) Quartz PDFContext</vt:lpwstr>
  </property>
</Properties>
</file>